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eastAsia="黑体"/>
          <w:sz w:val="30"/>
          <w:szCs w:val="30"/>
        </w:rPr>
      </w:pPr>
      <w:r>
        <w:rPr>
          <w:rFonts w:hint="eastAsia" w:ascii="Times New Roman" w:hAnsi="Times New Roman" w:eastAsia="宋体"/>
          <w:lang w:eastAsia="zh-CN"/>
        </w:rPr>
        <w:drawing>
          <wp:inline distT="0" distB="0" distL="114300" distR="114300">
            <wp:extent cx="863600" cy="735965"/>
            <wp:effectExtent l="0" t="0" r="12700" b="6350"/>
            <wp:docPr id="2" name="图片 1" descr="投资者信心指数Logo-word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投资者信心指数Logo-word用"/>
                    <pic:cNvPicPr>
                      <a:picLocks noChangeAspect="1"/>
                    </pic:cNvPicPr>
                  </pic:nvPicPr>
                  <pic:blipFill>
                    <a:blip r:embed="rId10"/>
                    <a:srcRect l="35637" t="24699" r="33015" b="25043"/>
                    <a:stretch>
                      <a:fillRect/>
                    </a:stretch>
                  </pic:blipFill>
                  <pic:spPr>
                    <a:xfrm>
                      <a:off x="0" y="0"/>
                      <a:ext cx="863600" cy="735965"/>
                    </a:xfrm>
                    <a:prstGeom prst="rect">
                      <a:avLst/>
                    </a:prstGeom>
                    <a:noFill/>
                    <a:ln>
                      <a:noFill/>
                    </a:ln>
                  </pic:spPr>
                </pic:pic>
              </a:graphicData>
            </a:graphic>
          </wp:inline>
        </w:drawing>
      </w:r>
    </w:p>
    <w:p>
      <w:pPr>
        <w:rPr>
          <w:rFonts w:ascii="Times New Roman" w:hAnsi="Times New Roman"/>
        </w:rPr>
      </w:pPr>
      <w:bookmarkStart w:id="13" w:name="_GoBack"/>
      <w:bookmarkEnd w:id="13"/>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隶书"/>
          <w:color w:val="FF0000"/>
          <w:w w:val="50"/>
          <w:sz w:val="144"/>
          <w:szCs w:val="144"/>
        </w:rPr>
      </w:pPr>
      <w:r>
        <w:rPr>
          <w:rFonts w:hint="eastAsia" w:ascii="Times New Roman" w:hAnsi="Times New Roman" w:eastAsia="隶书"/>
          <w:color w:val="FF0000"/>
          <w:w w:val="50"/>
          <w:sz w:val="144"/>
          <w:szCs w:val="144"/>
        </w:rPr>
        <w:t>月度</w:t>
      </w:r>
      <w:r>
        <w:rPr>
          <w:rFonts w:ascii="Times New Roman" w:hAnsi="Times New Roman" w:eastAsia="隶书"/>
          <w:color w:val="FF0000"/>
          <w:w w:val="50"/>
          <w:sz w:val="144"/>
          <w:szCs w:val="144"/>
        </w:rPr>
        <w:t>投资者信心调查专报</w:t>
      </w:r>
    </w:p>
    <w:p>
      <w:pPr>
        <w:jc w:val="center"/>
        <w:outlineLvl w:val="0"/>
        <w:rPr>
          <w:rFonts w:ascii="Times New Roman" w:hAnsi="Times New Roman" w:eastAsia="隶书"/>
          <w:color w:val="FF0000"/>
          <w:spacing w:val="-10"/>
          <w:sz w:val="36"/>
          <w:szCs w:val="36"/>
        </w:rPr>
      </w:pPr>
      <w:r>
        <w:rPr>
          <w:rFonts w:ascii="Times New Roman" w:hAnsi="Times New Roman" w:eastAsia="隶书"/>
          <w:color w:val="FF0000"/>
          <w:spacing w:val="-10"/>
          <w:sz w:val="36"/>
          <w:szCs w:val="36"/>
        </w:rPr>
        <w:t>（</w:t>
      </w:r>
      <w:r>
        <w:rPr>
          <w:rFonts w:ascii="Times New Roman" w:hAnsi="Times New Roman" w:eastAsia="隶书" w:cs="Times New Roman"/>
          <w:color w:val="FF0000"/>
          <w:spacing w:val="-10"/>
          <w:sz w:val="36"/>
          <w:szCs w:val="36"/>
        </w:rPr>
        <w:t>2020</w:t>
      </w:r>
      <w:r>
        <w:rPr>
          <w:rFonts w:ascii="Times New Roman" w:hAnsi="Times New Roman" w:eastAsia="隶书"/>
          <w:color w:val="FF0000"/>
          <w:spacing w:val="-10"/>
          <w:sz w:val="36"/>
          <w:szCs w:val="36"/>
        </w:rPr>
        <w:t>年第</w:t>
      </w:r>
      <w:r>
        <w:rPr>
          <w:rFonts w:hint="eastAsia" w:ascii="Times New Roman" w:hAnsi="Times New Roman" w:eastAsia="隶书"/>
          <w:color w:val="FF0000"/>
          <w:spacing w:val="-10"/>
          <w:sz w:val="36"/>
          <w:szCs w:val="36"/>
        </w:rPr>
        <w:t>9</w:t>
      </w:r>
      <w:r>
        <w:rPr>
          <w:rFonts w:ascii="Times New Roman" w:hAnsi="Times New Roman" w:eastAsia="隶书"/>
          <w:color w:val="FF0000"/>
          <w:spacing w:val="-10"/>
          <w:sz w:val="36"/>
          <w:szCs w:val="36"/>
        </w:rPr>
        <w:t>期</w:t>
      </w:r>
      <w:r>
        <w:rPr>
          <w:rFonts w:hint="eastAsia" w:ascii="Times New Roman" w:hAnsi="Times New Roman" w:eastAsia="隶书"/>
          <w:color w:val="FF0000"/>
          <w:spacing w:val="-10"/>
          <w:sz w:val="36"/>
          <w:szCs w:val="36"/>
        </w:rPr>
        <w:t xml:space="preserve"> 总第</w:t>
      </w:r>
      <w:r>
        <w:rPr>
          <w:rFonts w:ascii="Times New Roman" w:hAnsi="Times New Roman" w:eastAsia="隶书"/>
          <w:color w:val="FF0000"/>
          <w:spacing w:val="-10"/>
          <w:sz w:val="36"/>
          <w:szCs w:val="36"/>
        </w:rPr>
        <w:t>1</w:t>
      </w:r>
      <w:r>
        <w:rPr>
          <w:rFonts w:hint="eastAsia" w:ascii="Times New Roman" w:hAnsi="Times New Roman" w:eastAsia="隶书"/>
          <w:color w:val="FF0000"/>
          <w:spacing w:val="-10"/>
          <w:sz w:val="36"/>
          <w:szCs w:val="36"/>
        </w:rPr>
        <w:t>50期</w:t>
      </w:r>
      <w:r>
        <w:rPr>
          <w:rFonts w:ascii="Times New Roman" w:hAnsi="Times New Roman" w:eastAsia="隶书"/>
          <w:color w:val="FF0000"/>
          <w:spacing w:val="-10"/>
          <w:sz w:val="36"/>
          <w:szCs w:val="36"/>
        </w:rPr>
        <w:t>）</w:t>
      </w:r>
    </w:p>
    <w:p>
      <w:pPr>
        <w:rPr>
          <w:rFonts w:ascii="Times New Roman" w:hAnsi="Times New Roman"/>
          <w:color w:val="FF0000"/>
        </w:rPr>
      </w:pPr>
    </w:p>
    <w:p>
      <w:pPr>
        <w:rPr>
          <w:rFonts w:ascii="Times New Roman" w:hAnsi="Times New Roman"/>
          <w:color w:val="FF0000"/>
        </w:rPr>
      </w:pPr>
    </w:p>
    <w:p>
      <w:pPr>
        <w:rPr>
          <w:rFonts w:ascii="Times New Roman" w:hAnsi="Times New Roman"/>
        </w:rPr>
      </w:pPr>
    </w:p>
    <w:p>
      <w:pPr>
        <w:rPr>
          <w:rFonts w:ascii="Times New Roman" w:hAnsi="Times New Roman"/>
        </w:rPr>
      </w:pPr>
    </w:p>
    <w:p>
      <w:pPr>
        <w:rPr>
          <w:rFonts w:ascii="Times New Roman" w:hAnsi="Times New Roman" w:eastAsia="黑体"/>
          <w:sz w:val="36"/>
          <w:szCs w:val="36"/>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黑体"/>
          <w:sz w:val="28"/>
          <w:szCs w:val="28"/>
        </w:rPr>
      </w:pPr>
      <w:r>
        <w:rPr>
          <w:rFonts w:ascii="Times New Roman" w:hAnsi="Times New Roman" w:eastAsia="黑体"/>
          <w:sz w:val="28"/>
          <w:szCs w:val="28"/>
        </w:rPr>
        <w:t>中国证券投资者保护基金有限责任公司</w:t>
      </w:r>
    </w:p>
    <w:p>
      <w:pPr>
        <w:jc w:val="center"/>
        <w:rPr>
          <w:rFonts w:ascii="Times New Roman" w:hAnsi="Times New Roman" w:eastAsia="黑体"/>
          <w:sz w:val="28"/>
          <w:szCs w:val="28"/>
        </w:rPr>
      </w:pPr>
      <w:bookmarkStart w:id="0" w:name="OLE_LINK1"/>
      <w:r>
        <w:rPr>
          <w:rFonts w:hint="eastAsia" w:ascii="Times New Roman" w:hAnsi="Times New Roman" w:eastAsia="黑体"/>
          <w:sz w:val="28"/>
          <w:szCs w:val="28"/>
        </w:rPr>
        <w:t>2020</w:t>
      </w:r>
      <w:r>
        <w:rPr>
          <w:rFonts w:ascii="Times New Roman" w:hAnsi="Times New Roman" w:eastAsia="黑体"/>
          <w:sz w:val="28"/>
          <w:szCs w:val="28"/>
        </w:rPr>
        <w:t>年</w:t>
      </w:r>
      <w:r>
        <w:rPr>
          <w:rFonts w:hint="eastAsia" w:ascii="Times New Roman" w:hAnsi="Times New Roman" w:eastAsia="黑体"/>
          <w:sz w:val="28"/>
          <w:szCs w:val="28"/>
        </w:rPr>
        <w:t>10</w:t>
      </w:r>
      <w:r>
        <w:rPr>
          <w:rFonts w:ascii="Times New Roman" w:hAnsi="Times New Roman" w:eastAsia="黑体"/>
          <w:sz w:val="28"/>
          <w:szCs w:val="28"/>
        </w:rPr>
        <w:t>月</w:t>
      </w:r>
      <w:r>
        <w:rPr>
          <w:rFonts w:hint="eastAsia" w:ascii="Times New Roman" w:hAnsi="Times New Roman" w:eastAsia="黑体"/>
          <w:sz w:val="28"/>
          <w:szCs w:val="28"/>
        </w:rPr>
        <w:t>13</w:t>
      </w:r>
      <w:r>
        <w:rPr>
          <w:rFonts w:ascii="Times New Roman" w:hAnsi="Times New Roman" w:eastAsia="黑体"/>
          <w:sz w:val="28"/>
          <w:szCs w:val="28"/>
        </w:rPr>
        <w:t>日</w:t>
      </w:r>
    </w:p>
    <w:p>
      <w:pPr>
        <w:spacing w:beforeLines="300" w:afterLines="250"/>
        <w:jc w:val="center"/>
        <w:rPr>
          <w:rFonts w:ascii="Times New Roman" w:hAnsi="Times New Roman" w:eastAsia="隶书"/>
          <w:sz w:val="44"/>
          <w:szCs w:val="44"/>
        </w:rPr>
      </w:pPr>
      <w:r>
        <w:rPr>
          <w:rFonts w:ascii="Times New Roman" w:hAnsi="Times New Roman" w:eastAsia="黑体"/>
          <w:sz w:val="28"/>
          <w:szCs w:val="28"/>
        </w:rPr>
        <w:br w:type="page"/>
      </w:r>
      <w:bookmarkEnd w:id="0"/>
      <w:r>
        <w:rPr>
          <w:rFonts w:hint="eastAsia" w:ascii="Times New Roman" w:hAnsi="Times New Roman" w:eastAsia="隶书"/>
          <w:sz w:val="44"/>
          <w:szCs w:val="44"/>
        </w:rPr>
        <w:t>中国证券市场投资者信心指数</w:t>
      </w:r>
      <w:r>
        <w:rPr>
          <w:rFonts w:ascii="Times New Roman" w:hAnsi="Times New Roman" w:eastAsia="隶书"/>
          <w:sz w:val="44"/>
          <w:szCs w:val="44"/>
        </w:rPr>
        <w:t>简介</w:t>
      </w:r>
    </w:p>
    <w:p>
      <w:pPr>
        <w:spacing w:line="620" w:lineRule="exact"/>
        <w:ind w:firstLine="600" w:firstLineChars="200"/>
        <w:rPr>
          <w:rFonts w:ascii="Times New Roman" w:hAnsi="Times New Roman" w:eastAsia="楷体_GB2312"/>
          <w:sz w:val="30"/>
          <w:szCs w:val="30"/>
        </w:rPr>
      </w:pPr>
      <w:r>
        <w:rPr>
          <w:rFonts w:ascii="Times New Roman" w:hAnsi="Times New Roman" w:eastAsia="楷体_GB2312"/>
          <w:sz w:val="30"/>
          <w:szCs w:val="30"/>
        </w:rPr>
        <w:t>为了解</w:t>
      </w:r>
      <w:r>
        <w:rPr>
          <w:rFonts w:hint="eastAsia" w:ascii="Times New Roman" w:hAnsi="Times New Roman" w:eastAsia="楷体_GB2312"/>
          <w:sz w:val="30"/>
          <w:szCs w:val="30"/>
        </w:rPr>
        <w:t>我国证券市场</w:t>
      </w:r>
      <w:r>
        <w:rPr>
          <w:rFonts w:ascii="Times New Roman" w:hAnsi="Times New Roman" w:eastAsia="楷体_GB2312"/>
          <w:sz w:val="30"/>
          <w:szCs w:val="30"/>
        </w:rPr>
        <w:t>投资者在当前经济和市场环境下的投资心理和预期变化，2008年</w:t>
      </w:r>
      <w:r>
        <w:rPr>
          <w:rFonts w:hint="eastAsia" w:ascii="Times New Roman" w:hAnsi="Times New Roman" w:eastAsia="楷体_GB2312"/>
          <w:sz w:val="30"/>
          <w:szCs w:val="30"/>
        </w:rPr>
        <w:t>4</w:t>
      </w:r>
      <w:r>
        <w:rPr>
          <w:rFonts w:ascii="Times New Roman" w:hAnsi="Times New Roman" w:eastAsia="楷体_GB2312"/>
          <w:sz w:val="30"/>
          <w:szCs w:val="30"/>
        </w:rPr>
        <w:t>月</w:t>
      </w:r>
      <w:r>
        <w:rPr>
          <w:rFonts w:hint="eastAsia" w:ascii="Times New Roman" w:hAnsi="Times New Roman" w:eastAsia="楷体_GB2312"/>
          <w:sz w:val="30"/>
          <w:szCs w:val="30"/>
        </w:rPr>
        <w:t>，投保</w:t>
      </w:r>
      <w:r>
        <w:rPr>
          <w:rFonts w:ascii="Times New Roman" w:hAnsi="Times New Roman" w:eastAsia="楷体_GB2312"/>
          <w:sz w:val="30"/>
          <w:szCs w:val="30"/>
        </w:rPr>
        <w:t>基金公司在借鉴国内外投资者信心理论研究和调查工作</w:t>
      </w:r>
      <w:r>
        <w:rPr>
          <w:rFonts w:hint="eastAsia" w:ascii="Times New Roman" w:hAnsi="Times New Roman" w:eastAsia="楷体_GB2312"/>
          <w:sz w:val="30"/>
          <w:szCs w:val="30"/>
        </w:rPr>
        <w:t>实践的</w:t>
      </w:r>
      <w:r>
        <w:rPr>
          <w:rFonts w:ascii="Times New Roman" w:hAnsi="Times New Roman" w:eastAsia="楷体_GB2312"/>
          <w:sz w:val="30"/>
          <w:szCs w:val="30"/>
        </w:rPr>
        <w:t>基础上</w:t>
      </w:r>
      <w:r>
        <w:rPr>
          <w:rFonts w:hint="eastAsia" w:ascii="Times New Roman" w:hAnsi="Times New Roman" w:eastAsia="楷体_GB2312"/>
          <w:sz w:val="30"/>
          <w:szCs w:val="30"/>
        </w:rPr>
        <w:t>，自主编制中国证券市场投资者信心指数。该指数以月度为单位对投资者信心进行描述。</w:t>
      </w:r>
    </w:p>
    <w:p>
      <w:pPr>
        <w:spacing w:line="620" w:lineRule="exact"/>
        <w:ind w:firstLine="600" w:firstLineChars="200"/>
        <w:rPr>
          <w:rFonts w:ascii="Times New Roman" w:hAnsi="Times New Roman" w:eastAsia="楷体_GB2312"/>
          <w:sz w:val="30"/>
          <w:szCs w:val="30"/>
        </w:rPr>
      </w:pPr>
      <w:r>
        <w:rPr>
          <w:rFonts w:hint="eastAsia" w:ascii="Times New Roman" w:hAnsi="Times New Roman" w:eastAsia="楷体_GB2312"/>
          <w:sz w:val="30"/>
          <w:szCs w:val="30"/>
        </w:rPr>
        <w:t>中国证券市场投资者信心指数数值介于0-100之间，50为中性值。指数大于50时，表示投资者中持乐观、积极看法的比例大于持悲观、消极看法的比例，投资者信心整体偏向乐观。指数值越高，表示投资者信心越强。指数小于50时，表示投资者中持乐观、积极看法的比例小于持悲观、消极看法的比例，投资者信心整体偏向悲观。</w:t>
      </w:r>
    </w:p>
    <w:p>
      <w:pPr>
        <w:spacing w:line="620" w:lineRule="exact"/>
        <w:ind w:firstLine="600" w:firstLineChars="200"/>
        <w:rPr>
          <w:rFonts w:ascii="Times New Roman" w:hAnsi="Times New Roman" w:eastAsia="楷体_GB2312"/>
          <w:sz w:val="30"/>
          <w:szCs w:val="30"/>
        </w:rPr>
      </w:pPr>
    </w:p>
    <w:p>
      <w:pPr>
        <w:spacing w:line="620" w:lineRule="exact"/>
        <w:ind w:firstLine="600" w:firstLineChars="200"/>
        <w:rPr>
          <w:rFonts w:ascii="Times New Roman" w:hAnsi="Times New Roman" w:eastAsia="楷体_GB2312"/>
          <w:sz w:val="30"/>
          <w:szCs w:val="30"/>
        </w:rPr>
      </w:pPr>
    </w:p>
    <w:p>
      <w:pPr>
        <w:spacing w:line="620" w:lineRule="exact"/>
        <w:ind w:firstLine="600" w:firstLineChars="200"/>
        <w:rPr>
          <w:rFonts w:hint="eastAsia" w:ascii="Times New Roman" w:hAnsi="Times New Roman" w:eastAsia="楷体_GB2312"/>
          <w:sz w:val="30"/>
          <w:szCs w:val="30"/>
        </w:rPr>
      </w:pPr>
    </w:p>
    <w:p>
      <w:pPr>
        <w:spacing w:line="620" w:lineRule="exact"/>
        <w:rPr>
          <w:rFonts w:ascii="Times New Roman" w:hAnsi="Times New Roman" w:eastAsia="楷体_GB2312"/>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620" w:lineRule="exact"/>
        <w:rPr>
          <w:rFonts w:ascii="Times New Roman" w:hAnsi="Times New Roman" w:eastAsia="方正大标宋简体"/>
          <w:sz w:val="36"/>
          <w:szCs w:val="36"/>
        </w:rPr>
      </w:pPr>
    </w:p>
    <w:p>
      <w:pPr>
        <w:spacing w:line="620" w:lineRule="exact"/>
        <w:jc w:val="center"/>
        <w:rPr>
          <w:rFonts w:ascii="Times New Roman" w:hAnsi="Times New Roman" w:eastAsia="方正大标宋简体"/>
          <w:sz w:val="36"/>
          <w:szCs w:val="36"/>
        </w:rPr>
      </w:pPr>
      <w:r>
        <w:rPr>
          <w:rFonts w:ascii="Times New Roman" w:hAnsi="Times New Roman" w:eastAsia="方正大标宋简体"/>
          <w:sz w:val="36"/>
          <w:szCs w:val="36"/>
        </w:rPr>
        <w:t>20</w:t>
      </w:r>
      <w:r>
        <w:rPr>
          <w:rFonts w:hint="eastAsia" w:ascii="Times New Roman" w:hAnsi="Times New Roman" w:eastAsia="方正大标宋简体"/>
          <w:sz w:val="36"/>
          <w:szCs w:val="36"/>
        </w:rPr>
        <w:t>20</w:t>
      </w:r>
      <w:r>
        <w:rPr>
          <w:rFonts w:hint="eastAsia" w:ascii="方正大标宋简体" w:hAnsi="Calibri" w:eastAsia="方正大标宋简体" w:cs="Times New Roman"/>
          <w:sz w:val="36"/>
          <w:szCs w:val="36"/>
        </w:rPr>
        <w:t>年</w:t>
      </w:r>
      <w:r>
        <w:rPr>
          <w:rFonts w:hint="eastAsia" w:ascii="Times New Roman" w:hAnsi="Times New Roman" w:eastAsia="方正大标宋简体"/>
          <w:sz w:val="36"/>
          <w:szCs w:val="36"/>
        </w:rPr>
        <w:t>9</w:t>
      </w:r>
      <w:r>
        <w:rPr>
          <w:rFonts w:hint="eastAsia" w:ascii="方正大标宋简体" w:hAnsi="Calibri" w:eastAsia="方正大标宋简体" w:cs="Times New Roman"/>
          <w:sz w:val="36"/>
          <w:szCs w:val="36"/>
        </w:rPr>
        <w:t>月中国证券市场投资者信心调查分析报告</w:t>
      </w:r>
    </w:p>
    <w:p>
      <w:pPr>
        <w:spacing w:line="360" w:lineRule="auto"/>
        <w:rPr>
          <w:rFonts w:ascii="Times New Roman" w:hAnsi="Times New Roman" w:eastAsia="方正大标宋简体"/>
          <w:sz w:val="36"/>
          <w:szCs w:val="36"/>
        </w:rPr>
      </w:pPr>
    </w:p>
    <w:p>
      <w:pPr>
        <w:spacing w:line="360" w:lineRule="auto"/>
        <w:ind w:firstLine="600" w:firstLineChars="200"/>
        <w:rPr>
          <w:rFonts w:ascii="Times New Roman" w:hAnsi="Times New Roman" w:eastAsia="方正仿宋简体"/>
          <w:sz w:val="30"/>
          <w:szCs w:val="30"/>
        </w:rPr>
      </w:pPr>
      <w:bookmarkStart w:id="1" w:name="_Hlk40088298"/>
      <w:r>
        <w:rPr>
          <w:rFonts w:hint="eastAsia" w:ascii="Times New Roman" w:hAnsi="Times New Roman" w:eastAsia="方正仿宋简体"/>
          <w:sz w:val="30"/>
          <w:szCs w:val="30"/>
        </w:rPr>
        <w:t>投保基金公司自2020年9月30日起，依托公司投资者调查固定样本库开展了本期投资者信心调查，调查对象包括1,932名个人投资者和198名一般机构投资者，共发放调查问卷2,130份。截至2020年10月13日，收回有效问卷2,073份，回收率为97</w:t>
      </w:r>
      <w:r>
        <w:rPr>
          <w:rFonts w:ascii="Times New Roman" w:hAnsi="Times New Roman" w:eastAsia="方正仿宋简体"/>
          <w:sz w:val="30"/>
          <w:szCs w:val="30"/>
        </w:rPr>
        <w:t>.</w:t>
      </w:r>
      <w:r>
        <w:rPr>
          <w:rFonts w:hint="eastAsia" w:ascii="Times New Roman" w:hAnsi="Times New Roman" w:eastAsia="方正仿宋简体"/>
          <w:sz w:val="30"/>
          <w:szCs w:val="30"/>
        </w:rPr>
        <w:t>3%。</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调查显示，</w:t>
      </w:r>
      <w:r>
        <w:rPr>
          <w:rFonts w:hint="eastAsia" w:ascii="Times New Roman" w:hAnsi="Times New Roman" w:eastAsia="方正仿宋简体"/>
          <w:b/>
          <w:bCs/>
          <w:sz w:val="30"/>
          <w:szCs w:val="30"/>
        </w:rPr>
        <w:t>2020年9月中国证券市场投资者信心指数为61</w:t>
      </w:r>
      <w:r>
        <w:rPr>
          <w:rFonts w:ascii="Times New Roman" w:hAnsi="Times New Roman" w:eastAsia="方正仿宋简体"/>
          <w:b/>
          <w:bCs/>
          <w:sz w:val="30"/>
          <w:szCs w:val="30"/>
        </w:rPr>
        <w:t>.</w:t>
      </w:r>
      <w:r>
        <w:rPr>
          <w:rFonts w:hint="eastAsia" w:ascii="Times New Roman" w:hAnsi="Times New Roman" w:eastAsia="方正仿宋简体"/>
          <w:b/>
          <w:bCs/>
          <w:sz w:val="30"/>
          <w:szCs w:val="30"/>
        </w:rPr>
        <w:t>1，环比微降0.7%，在7月达到去年4月以来高点（64.7）后，近两月虽有所回落，但投资者信心指数仍保持在60以上较高水平且运行稳定。</w:t>
      </w:r>
      <w:bookmarkStart w:id="2" w:name="_Hlk40088456"/>
      <w:r>
        <w:rPr>
          <w:rFonts w:hint="eastAsia" w:ascii="Times New Roman" w:hAnsi="Times New Roman" w:eastAsia="方正仿宋简体"/>
          <w:sz w:val="30"/>
          <w:szCs w:val="30"/>
        </w:rPr>
        <w:t>其中，股票估值指数为54</w:t>
      </w:r>
      <w:r>
        <w:rPr>
          <w:rFonts w:ascii="Times New Roman" w:hAnsi="Times New Roman" w:eastAsia="方正仿宋简体"/>
          <w:sz w:val="30"/>
          <w:szCs w:val="30"/>
        </w:rPr>
        <w:t>.</w:t>
      </w:r>
      <w:bookmarkEnd w:id="2"/>
      <w:bookmarkStart w:id="3" w:name="_Hlk40088473"/>
      <w:r>
        <w:rPr>
          <w:rFonts w:hint="eastAsia" w:ascii="Times New Roman" w:hAnsi="Times New Roman" w:eastAsia="方正仿宋简体"/>
          <w:sz w:val="30"/>
          <w:szCs w:val="30"/>
        </w:rPr>
        <w:t>5，环比上升2</w:t>
      </w:r>
      <w:r>
        <w:rPr>
          <w:rFonts w:ascii="Times New Roman" w:hAnsi="Times New Roman" w:eastAsia="方正仿宋简体"/>
          <w:sz w:val="30"/>
          <w:szCs w:val="30"/>
        </w:rPr>
        <w:t>.</w:t>
      </w:r>
      <w:r>
        <w:rPr>
          <w:rFonts w:hint="eastAsia" w:ascii="Times New Roman" w:hAnsi="Times New Roman" w:eastAsia="方正仿宋简体"/>
          <w:sz w:val="30"/>
          <w:szCs w:val="30"/>
        </w:rPr>
        <w:t>1%，</w:t>
      </w:r>
      <w:bookmarkEnd w:id="3"/>
      <w:r>
        <w:rPr>
          <w:rFonts w:hint="eastAsia" w:ascii="Times New Roman" w:hAnsi="Times New Roman" w:eastAsia="方正仿宋简体"/>
          <w:sz w:val="30"/>
          <w:szCs w:val="30"/>
        </w:rPr>
        <w:t>投资者对股票估值的认可度有所回升</w:t>
      </w:r>
      <w:bookmarkStart w:id="4" w:name="_Hlk40088519"/>
      <w:r>
        <w:rPr>
          <w:rFonts w:hint="eastAsia" w:ascii="Times New Roman" w:hAnsi="Times New Roman" w:eastAsia="方正仿宋简体"/>
          <w:sz w:val="30"/>
          <w:szCs w:val="30"/>
        </w:rPr>
        <w:t>。大盘乐观指数为63</w:t>
      </w:r>
      <w:r>
        <w:rPr>
          <w:rFonts w:ascii="Times New Roman" w:hAnsi="Times New Roman" w:eastAsia="方正仿宋简体"/>
          <w:sz w:val="30"/>
          <w:szCs w:val="30"/>
        </w:rPr>
        <w:t>.</w:t>
      </w:r>
      <w:r>
        <w:rPr>
          <w:rFonts w:hint="eastAsia" w:ascii="Times New Roman" w:hAnsi="Times New Roman" w:eastAsia="方正仿宋简体"/>
          <w:sz w:val="30"/>
          <w:szCs w:val="30"/>
        </w:rPr>
        <w:t>9、投资者买入指数为55.0，分别环比下降0.3%和3.7%，在维持乐观稳定预期的情况下，投资者买入意愿依然偏谨慎。大盘抗跌指数为66.8，环比上升1.8%</w:t>
      </w:r>
      <w:bookmarkEnd w:id="4"/>
      <w:bookmarkStart w:id="5" w:name="_Hlk40088538"/>
      <w:r>
        <w:rPr>
          <w:rFonts w:hint="eastAsia" w:ascii="Times New Roman" w:hAnsi="Times New Roman" w:eastAsia="方正仿宋简体"/>
          <w:sz w:val="30"/>
          <w:szCs w:val="30"/>
        </w:rPr>
        <w:t>。大盘反弹指数为54</w:t>
      </w:r>
      <w:r>
        <w:rPr>
          <w:rFonts w:ascii="Times New Roman" w:hAnsi="Times New Roman" w:eastAsia="方正仿宋简体"/>
          <w:sz w:val="30"/>
          <w:szCs w:val="30"/>
        </w:rPr>
        <w:t>.</w:t>
      </w:r>
      <w:r>
        <w:rPr>
          <w:rFonts w:hint="eastAsia" w:ascii="Times New Roman" w:hAnsi="Times New Roman" w:eastAsia="方正仿宋简体"/>
          <w:sz w:val="30"/>
          <w:szCs w:val="30"/>
        </w:rPr>
        <w:t>9，环比下降2</w:t>
      </w:r>
      <w:r>
        <w:rPr>
          <w:rFonts w:ascii="Times New Roman" w:hAnsi="Times New Roman" w:eastAsia="方正仿宋简体"/>
          <w:sz w:val="30"/>
          <w:szCs w:val="30"/>
        </w:rPr>
        <w:t>.</w:t>
      </w:r>
      <w:r>
        <w:rPr>
          <w:rFonts w:hint="eastAsia" w:ascii="Times New Roman" w:hAnsi="Times New Roman" w:eastAsia="方正仿宋简体"/>
          <w:sz w:val="30"/>
          <w:szCs w:val="30"/>
        </w:rPr>
        <w:t>5%</w:t>
      </w:r>
      <w:bookmarkEnd w:id="5"/>
      <w:r>
        <w:rPr>
          <w:rFonts w:hint="eastAsia" w:ascii="Times New Roman" w:hAnsi="Times New Roman" w:eastAsia="方正仿宋简体"/>
          <w:sz w:val="30"/>
          <w:szCs w:val="30"/>
        </w:rPr>
        <w:t>。</w:t>
      </w:r>
    </w:p>
    <w:bookmarkEnd w:id="1"/>
    <w:p>
      <w:pPr>
        <w:spacing w:line="520" w:lineRule="exact"/>
        <w:ind w:firstLine="900" w:firstLineChars="300"/>
        <w:rPr>
          <w:rFonts w:ascii="Times New Roman" w:hAnsi="Times New Roman" w:eastAsia="楷体"/>
          <w:sz w:val="32"/>
          <w:szCs w:val="32"/>
        </w:rPr>
      </w:pPr>
      <w:r>
        <w:rPr>
          <w:rFonts w:ascii="Times New Roman" w:hAnsi="Times New Roman" w:eastAsia="楷体"/>
          <w:sz w:val="30"/>
          <w:szCs w:val="30"/>
        </w:rPr>
        <w:t>20</w:t>
      </w:r>
      <w:r>
        <w:rPr>
          <w:rFonts w:hint="eastAsia" w:ascii="Times New Roman" w:hAnsi="Times New Roman" w:eastAsia="楷体"/>
          <w:sz w:val="30"/>
          <w:szCs w:val="30"/>
        </w:rPr>
        <w:t>20年8月与2020年9月投资者信心指数比较表</w:t>
      </w:r>
    </w:p>
    <w:tbl>
      <w:tblPr>
        <w:tblStyle w:val="5"/>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1997"/>
        <w:gridCol w:w="1997"/>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rPr>
                <w:rFonts w:ascii="Times New Roman" w:hAnsi="Times New Roman" w:eastAsia="方正仿宋简体" w:cs="宋体"/>
                <w:sz w:val="28"/>
                <w:szCs w:val="28"/>
              </w:rPr>
            </w:pPr>
            <w:bookmarkStart w:id="6" w:name="OLE_LINK3"/>
            <w:bookmarkStart w:id="7" w:name="OLE_LINK2"/>
          </w:p>
        </w:tc>
        <w:tc>
          <w:tcPr>
            <w:tcW w:w="1997"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2020年8月</w:t>
            </w:r>
          </w:p>
        </w:tc>
        <w:tc>
          <w:tcPr>
            <w:tcW w:w="1997"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2020年9月</w:t>
            </w:r>
          </w:p>
        </w:tc>
        <w:tc>
          <w:tcPr>
            <w:tcW w:w="1997"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jc w:val="center"/>
              <w:rPr>
                <w:rFonts w:ascii="Times New Roman" w:hAnsi="Times New Roman" w:eastAsia="方正仿宋简体" w:cs="宋体"/>
                <w:b/>
                <w:sz w:val="28"/>
                <w:szCs w:val="28"/>
              </w:rPr>
            </w:pPr>
            <w:bookmarkStart w:id="8" w:name="_Hlk347237523"/>
            <w:r>
              <w:rPr>
                <w:rFonts w:hint="eastAsia" w:ascii="Times New Roman" w:hAnsi="Times New Roman" w:eastAsia="方正仿宋简体" w:cs="宋体"/>
                <w:b/>
                <w:sz w:val="28"/>
                <w:szCs w:val="28"/>
              </w:rPr>
              <w:t>投资者信心指数</w:t>
            </w:r>
          </w:p>
        </w:tc>
        <w:tc>
          <w:tcPr>
            <w:tcW w:w="1997" w:type="dxa"/>
            <w:vAlign w:val="center"/>
          </w:tcPr>
          <w:p>
            <w:pPr>
              <w:spacing w:line="360" w:lineRule="exact"/>
              <w:jc w:val="center"/>
              <w:rPr>
                <w:rFonts w:ascii="Times New Roman" w:hAnsi="Times New Roman" w:eastAsia="方正仿宋简体"/>
                <w:b/>
                <w:sz w:val="28"/>
                <w:szCs w:val="28"/>
              </w:rPr>
            </w:pPr>
            <w:r>
              <w:rPr>
                <w:rFonts w:hint="eastAsia" w:ascii="Times New Roman" w:hAnsi="Times New Roman" w:eastAsia="方正仿宋简体"/>
                <w:b/>
                <w:bCs/>
                <w:sz w:val="28"/>
                <w:szCs w:val="28"/>
              </w:rPr>
              <w:t>61.5</w:t>
            </w:r>
          </w:p>
        </w:tc>
        <w:tc>
          <w:tcPr>
            <w:tcW w:w="1997" w:type="dxa"/>
            <w:vAlign w:val="center"/>
          </w:tcPr>
          <w:p>
            <w:pPr>
              <w:spacing w:line="360" w:lineRule="exact"/>
              <w:jc w:val="center"/>
              <w:rPr>
                <w:rFonts w:ascii="Times New Roman" w:hAnsi="Times New Roman" w:eastAsia="方正仿宋简体"/>
                <w:sz w:val="28"/>
                <w:szCs w:val="28"/>
              </w:rPr>
            </w:pPr>
            <w:r>
              <w:rPr>
                <w:rFonts w:hint="eastAsia" w:ascii="Times New Roman" w:hAnsi="Times New Roman" w:eastAsia="方正仿宋简体"/>
                <w:b/>
                <w:sz w:val="28"/>
                <w:szCs w:val="28"/>
              </w:rPr>
              <w:t>61.1</w:t>
            </w:r>
          </w:p>
        </w:tc>
        <w:tc>
          <w:tcPr>
            <w:tcW w:w="1997" w:type="dxa"/>
            <w:vAlign w:val="center"/>
          </w:tcPr>
          <w:p>
            <w:pPr>
              <w:spacing w:line="360" w:lineRule="exact"/>
              <w:jc w:val="center"/>
              <w:rPr>
                <w:rFonts w:ascii="Times New Roman" w:hAnsi="Times New Roman" w:eastAsia="方正仿宋简体"/>
                <w:b/>
                <w:sz w:val="28"/>
                <w:szCs w:val="28"/>
              </w:rPr>
            </w:pPr>
            <w:r>
              <w:rPr>
                <w:rFonts w:hint="eastAsia" w:ascii="Times New Roman" w:hAnsi="Times New Roman" w:eastAsia="方正仿宋简体"/>
                <w:b/>
                <w:sz w:val="28"/>
                <w:szCs w:val="28"/>
              </w:rPr>
              <w:t>-0</w:t>
            </w:r>
            <w:r>
              <w:rPr>
                <w:rFonts w:ascii="Times New Roman" w:hAnsi="Times New Roman" w:eastAsia="方正仿宋简体"/>
                <w:b/>
                <w:sz w:val="28"/>
                <w:szCs w:val="28"/>
              </w:rPr>
              <w:t>.</w:t>
            </w:r>
            <w:r>
              <w:rPr>
                <w:rFonts w:hint="eastAsia" w:ascii="Times New Roman" w:hAnsi="Times New Roman" w:eastAsia="方正仿宋简体"/>
                <w:b/>
                <w:sz w:val="28"/>
                <w:szCs w:val="28"/>
              </w:rPr>
              <w:t>7</w:t>
            </w:r>
            <w:r>
              <w:rPr>
                <w:rFonts w:ascii="Times New Roman" w:hAnsi="Times New Roman" w:eastAsia="方正仿宋简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股票估值</w:t>
            </w:r>
          </w:p>
        </w:tc>
        <w:tc>
          <w:tcPr>
            <w:tcW w:w="1997" w:type="dxa"/>
            <w:vAlign w:val="center"/>
          </w:tcPr>
          <w:p>
            <w:pPr>
              <w:spacing w:line="36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53.4</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bCs/>
                <w:sz w:val="28"/>
                <w:szCs w:val="28"/>
              </w:rPr>
              <w:t>54.5</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大盘乐观</w:t>
            </w:r>
          </w:p>
        </w:tc>
        <w:tc>
          <w:tcPr>
            <w:tcW w:w="1997" w:type="dxa"/>
            <w:vAlign w:val="center"/>
          </w:tcPr>
          <w:p>
            <w:pPr>
              <w:spacing w:line="36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64.1</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bCs/>
                <w:sz w:val="28"/>
                <w:szCs w:val="28"/>
              </w:rPr>
              <w:t>63.9</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大盘反弹</w:t>
            </w:r>
          </w:p>
        </w:tc>
        <w:tc>
          <w:tcPr>
            <w:tcW w:w="1997" w:type="dxa"/>
            <w:vAlign w:val="center"/>
          </w:tcPr>
          <w:p>
            <w:pPr>
              <w:spacing w:line="36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56.3</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bCs/>
                <w:sz w:val="28"/>
                <w:szCs w:val="28"/>
              </w:rPr>
              <w:t>54.9</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大盘抗跌</w:t>
            </w:r>
          </w:p>
        </w:tc>
        <w:tc>
          <w:tcPr>
            <w:tcW w:w="1997" w:type="dxa"/>
            <w:vAlign w:val="center"/>
          </w:tcPr>
          <w:p>
            <w:pPr>
              <w:spacing w:line="36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65.6</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bCs/>
                <w:sz w:val="28"/>
                <w:szCs w:val="28"/>
              </w:rPr>
              <w:t>66.8</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475" w:type="dxa"/>
            <w:vAlign w:val="center"/>
          </w:tcPr>
          <w:p>
            <w:pPr>
              <w:spacing w:line="360" w:lineRule="exact"/>
              <w:jc w:val="center"/>
              <w:rPr>
                <w:rFonts w:ascii="Times New Roman" w:hAnsi="Times New Roman" w:eastAsia="方正仿宋简体" w:cs="宋体"/>
                <w:sz w:val="28"/>
                <w:szCs w:val="28"/>
              </w:rPr>
            </w:pPr>
            <w:r>
              <w:rPr>
                <w:rFonts w:hint="eastAsia" w:ascii="Times New Roman" w:hAnsi="Times New Roman" w:eastAsia="方正仿宋简体" w:cs="宋体"/>
                <w:sz w:val="28"/>
                <w:szCs w:val="28"/>
              </w:rPr>
              <w:t>买入指数</w:t>
            </w:r>
          </w:p>
        </w:tc>
        <w:tc>
          <w:tcPr>
            <w:tcW w:w="1997" w:type="dxa"/>
            <w:vAlign w:val="center"/>
          </w:tcPr>
          <w:p>
            <w:pPr>
              <w:spacing w:line="36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57.1</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bCs/>
                <w:sz w:val="28"/>
                <w:szCs w:val="28"/>
              </w:rPr>
              <w:t>55.0</w:t>
            </w:r>
          </w:p>
        </w:tc>
        <w:tc>
          <w:tcPr>
            <w:tcW w:w="1997" w:type="dxa"/>
            <w:vAlign w:val="center"/>
          </w:tcPr>
          <w:p>
            <w:pPr>
              <w:spacing w:line="42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-3.7%</w:t>
            </w:r>
          </w:p>
        </w:tc>
      </w:tr>
      <w:bookmarkEnd w:id="6"/>
      <w:bookmarkEnd w:id="7"/>
      <w:bookmarkEnd w:id="8"/>
    </w:tbl>
    <w:p>
      <w:pPr>
        <w:spacing w:line="360" w:lineRule="auto"/>
        <w:ind w:firstLine="600" w:firstLineChars="200"/>
        <w:rPr>
          <w:rFonts w:ascii="Times New Roman" w:hAnsi="Times New Roman" w:eastAsia="方正仿宋简体"/>
          <w:sz w:val="30"/>
          <w:szCs w:val="30"/>
        </w:rPr>
      </w:pP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9月</w:t>
      </w:r>
      <w:r>
        <w:rPr>
          <w:rFonts w:ascii="Times New Roman" w:hAnsi="Times New Roman" w:eastAsia="方正仿宋简体"/>
          <w:sz w:val="30"/>
          <w:szCs w:val="30"/>
        </w:rPr>
        <w:t>投资者信心主要呈现以下特点：</w:t>
      </w:r>
    </w:p>
    <w:p>
      <w:pPr>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一、股票估值指数回升</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股票估值指数由上月</w:t>
      </w:r>
      <w:r>
        <w:rPr>
          <w:rFonts w:ascii="Times New Roman" w:hAnsi="Times New Roman" w:eastAsia="方正仿宋简体"/>
          <w:sz w:val="30"/>
          <w:szCs w:val="30"/>
        </w:rPr>
        <w:t>5</w:t>
      </w:r>
      <w:r>
        <w:rPr>
          <w:rFonts w:hint="eastAsia" w:ascii="Times New Roman" w:hAnsi="Times New Roman" w:eastAsia="方正仿宋简体"/>
          <w:sz w:val="30"/>
          <w:szCs w:val="30"/>
        </w:rPr>
        <w:t>3</w:t>
      </w:r>
      <w:r>
        <w:rPr>
          <w:rFonts w:ascii="Times New Roman" w:hAnsi="Times New Roman" w:eastAsia="方正仿宋简体"/>
          <w:sz w:val="30"/>
          <w:szCs w:val="30"/>
        </w:rPr>
        <w:t>.</w:t>
      </w:r>
      <w:r>
        <w:rPr>
          <w:rFonts w:hint="eastAsia" w:ascii="Times New Roman" w:hAnsi="Times New Roman" w:eastAsia="方正仿宋简体"/>
          <w:sz w:val="30"/>
          <w:szCs w:val="30"/>
        </w:rPr>
        <w:t>4升至</w:t>
      </w:r>
      <w:r>
        <w:rPr>
          <w:rFonts w:ascii="Times New Roman" w:hAnsi="Times New Roman" w:eastAsia="方正仿宋简体"/>
          <w:sz w:val="30"/>
          <w:szCs w:val="30"/>
        </w:rPr>
        <w:t>5</w:t>
      </w:r>
      <w:r>
        <w:rPr>
          <w:rFonts w:hint="eastAsia" w:ascii="Times New Roman" w:hAnsi="Times New Roman" w:eastAsia="方正仿宋简体"/>
          <w:sz w:val="30"/>
          <w:szCs w:val="30"/>
        </w:rPr>
        <w:t>4</w:t>
      </w:r>
      <w:r>
        <w:rPr>
          <w:rFonts w:ascii="Times New Roman" w:hAnsi="Times New Roman" w:eastAsia="方正仿宋简体"/>
          <w:sz w:val="30"/>
          <w:szCs w:val="30"/>
        </w:rPr>
        <w:t>.</w:t>
      </w:r>
      <w:r>
        <w:rPr>
          <w:rFonts w:hint="eastAsia" w:ascii="Times New Roman" w:hAnsi="Times New Roman" w:eastAsia="方正仿宋简体"/>
          <w:sz w:val="30"/>
          <w:szCs w:val="30"/>
        </w:rPr>
        <w:t>5，升幅2</w:t>
      </w:r>
      <w:r>
        <w:rPr>
          <w:rFonts w:ascii="Times New Roman" w:hAnsi="Times New Roman" w:eastAsia="方正仿宋简体"/>
          <w:sz w:val="30"/>
          <w:szCs w:val="30"/>
        </w:rPr>
        <w:t>.</w:t>
      </w:r>
      <w:r>
        <w:rPr>
          <w:rFonts w:hint="eastAsia" w:ascii="Times New Roman" w:hAnsi="Times New Roman" w:eastAsia="方正仿宋简体"/>
          <w:sz w:val="30"/>
          <w:szCs w:val="30"/>
        </w:rPr>
        <w:t>1%，在经历了连续两个月下降后，本月股票估值指数呈现回升态势，继续保持在偏乐观运行区间。其中，认为当前股票价格低于其真实价值或合理的投资价值的投资者占20</w:t>
      </w:r>
      <w:r>
        <w:rPr>
          <w:rFonts w:ascii="Times New Roman" w:hAnsi="Times New Roman" w:eastAsia="方正仿宋简体"/>
          <w:sz w:val="30"/>
          <w:szCs w:val="30"/>
        </w:rPr>
        <w:t>.</w:t>
      </w:r>
      <w:r>
        <w:rPr>
          <w:rFonts w:hint="eastAsia" w:ascii="Times New Roman" w:hAnsi="Times New Roman" w:eastAsia="方正仿宋简体"/>
          <w:sz w:val="30"/>
          <w:szCs w:val="30"/>
        </w:rPr>
        <w:t>2%（上月20</w:t>
      </w:r>
      <w:r>
        <w:rPr>
          <w:rFonts w:ascii="Times New Roman" w:hAnsi="Times New Roman" w:eastAsia="方正仿宋简体"/>
          <w:sz w:val="30"/>
          <w:szCs w:val="30"/>
        </w:rPr>
        <w:t>.</w:t>
      </w:r>
      <w:r>
        <w:rPr>
          <w:rFonts w:hint="eastAsia" w:ascii="Times New Roman" w:hAnsi="Times New Roman" w:eastAsia="方正仿宋简体"/>
          <w:sz w:val="30"/>
          <w:szCs w:val="30"/>
        </w:rPr>
        <w:t>0%），认为差不多的投资者占49</w:t>
      </w:r>
      <w:r>
        <w:rPr>
          <w:rFonts w:ascii="Times New Roman" w:hAnsi="Times New Roman" w:eastAsia="方正仿宋简体"/>
          <w:sz w:val="30"/>
          <w:szCs w:val="30"/>
        </w:rPr>
        <w:t>.</w:t>
      </w:r>
      <w:r>
        <w:rPr>
          <w:rFonts w:hint="eastAsia" w:ascii="Times New Roman" w:hAnsi="Times New Roman" w:eastAsia="方正仿宋简体"/>
          <w:sz w:val="30"/>
          <w:szCs w:val="30"/>
        </w:rPr>
        <w:t>9%（上月46</w:t>
      </w:r>
      <w:r>
        <w:rPr>
          <w:rFonts w:ascii="Times New Roman" w:hAnsi="Times New Roman" w:eastAsia="方正仿宋简体"/>
          <w:sz w:val="30"/>
          <w:szCs w:val="30"/>
        </w:rPr>
        <w:t>.</w:t>
      </w:r>
      <w:r>
        <w:rPr>
          <w:rFonts w:hint="eastAsia" w:ascii="Times New Roman" w:hAnsi="Times New Roman" w:eastAsia="方正仿宋简体"/>
          <w:sz w:val="30"/>
          <w:szCs w:val="30"/>
        </w:rPr>
        <w:t>8%），认为当前股票价格高于其真实价值或合理投资价值的投资者占</w:t>
      </w:r>
      <w:r>
        <w:rPr>
          <w:rFonts w:ascii="Times New Roman" w:hAnsi="Times New Roman" w:eastAsia="方正仿宋简体"/>
          <w:sz w:val="30"/>
          <w:szCs w:val="30"/>
        </w:rPr>
        <w:t>1</w:t>
      </w:r>
      <w:r>
        <w:rPr>
          <w:rFonts w:hint="eastAsia" w:ascii="Times New Roman" w:hAnsi="Times New Roman" w:eastAsia="方正仿宋简体"/>
          <w:sz w:val="30"/>
          <w:szCs w:val="30"/>
        </w:rPr>
        <w:t>2</w:t>
      </w:r>
      <w:r>
        <w:rPr>
          <w:rFonts w:ascii="Times New Roman" w:hAnsi="Times New Roman" w:eastAsia="方正仿宋简体"/>
          <w:sz w:val="30"/>
          <w:szCs w:val="30"/>
        </w:rPr>
        <w:t>.</w:t>
      </w:r>
      <w:r>
        <w:rPr>
          <w:rFonts w:hint="eastAsia" w:ascii="Times New Roman" w:hAnsi="Times New Roman" w:eastAsia="方正仿宋简体"/>
          <w:sz w:val="30"/>
          <w:szCs w:val="30"/>
        </w:rPr>
        <w:t>7%（上月</w:t>
      </w:r>
      <w:r>
        <w:rPr>
          <w:rFonts w:ascii="Times New Roman" w:hAnsi="Times New Roman" w:eastAsia="方正仿宋简体"/>
          <w:sz w:val="30"/>
          <w:szCs w:val="30"/>
        </w:rPr>
        <w:t>1</w:t>
      </w:r>
      <w:r>
        <w:rPr>
          <w:rFonts w:hint="eastAsia" w:ascii="Times New Roman" w:hAnsi="Times New Roman" w:eastAsia="方正仿宋简体"/>
          <w:sz w:val="30"/>
          <w:szCs w:val="30"/>
        </w:rPr>
        <w:t>4</w:t>
      </w:r>
      <w:r>
        <w:rPr>
          <w:rFonts w:ascii="Times New Roman" w:hAnsi="Times New Roman" w:eastAsia="方正仿宋简体"/>
          <w:sz w:val="30"/>
          <w:szCs w:val="30"/>
        </w:rPr>
        <w:t>.</w:t>
      </w:r>
      <w:r>
        <w:rPr>
          <w:rFonts w:hint="eastAsia" w:ascii="Times New Roman" w:hAnsi="Times New Roman" w:eastAsia="方正仿宋简体"/>
          <w:sz w:val="30"/>
          <w:szCs w:val="30"/>
        </w:rPr>
        <w:t>6%），回答不确定的投资者占</w:t>
      </w:r>
      <w:r>
        <w:rPr>
          <w:rFonts w:ascii="Times New Roman" w:hAnsi="Times New Roman" w:eastAsia="方正仿宋简体"/>
          <w:sz w:val="30"/>
          <w:szCs w:val="30"/>
        </w:rPr>
        <w:t>1</w:t>
      </w:r>
      <w:r>
        <w:rPr>
          <w:rFonts w:hint="eastAsia" w:ascii="Times New Roman" w:hAnsi="Times New Roman" w:eastAsia="方正仿宋简体"/>
          <w:sz w:val="30"/>
          <w:szCs w:val="30"/>
        </w:rPr>
        <w:t>7</w:t>
      </w:r>
      <w:r>
        <w:rPr>
          <w:rFonts w:ascii="Times New Roman" w:hAnsi="Times New Roman" w:eastAsia="方正仿宋简体"/>
          <w:sz w:val="30"/>
          <w:szCs w:val="30"/>
        </w:rPr>
        <w:t>.</w:t>
      </w:r>
      <w:r>
        <w:rPr>
          <w:rFonts w:hint="eastAsia" w:ascii="Times New Roman" w:hAnsi="Times New Roman" w:eastAsia="方正仿宋简体"/>
          <w:sz w:val="30"/>
          <w:szCs w:val="30"/>
        </w:rPr>
        <w:t>2%（上月</w:t>
      </w:r>
      <w:r>
        <w:rPr>
          <w:rFonts w:ascii="Times New Roman" w:hAnsi="Times New Roman" w:eastAsia="方正仿宋简体"/>
          <w:sz w:val="30"/>
          <w:szCs w:val="30"/>
        </w:rPr>
        <w:t>1</w:t>
      </w:r>
      <w:r>
        <w:rPr>
          <w:rFonts w:hint="eastAsia" w:ascii="Times New Roman" w:hAnsi="Times New Roman" w:eastAsia="方正仿宋简体"/>
          <w:sz w:val="30"/>
          <w:szCs w:val="30"/>
        </w:rPr>
        <w:t>8</w:t>
      </w:r>
      <w:r>
        <w:rPr>
          <w:rFonts w:ascii="Times New Roman" w:hAnsi="Times New Roman" w:eastAsia="方正仿宋简体"/>
          <w:sz w:val="30"/>
          <w:szCs w:val="30"/>
        </w:rPr>
        <w:t>.</w:t>
      </w:r>
      <w:r>
        <w:rPr>
          <w:rFonts w:hint="eastAsia" w:ascii="Times New Roman" w:hAnsi="Times New Roman" w:eastAsia="方正仿宋简体"/>
          <w:sz w:val="30"/>
          <w:szCs w:val="30"/>
        </w:rPr>
        <w:t>6%）。</w:t>
      </w:r>
    </w:p>
    <w:p>
      <w:pPr>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二、</w:t>
      </w:r>
      <w:bookmarkStart w:id="9" w:name="_Hlk40088880"/>
      <w:r>
        <w:rPr>
          <w:rFonts w:hint="eastAsia" w:ascii="Times New Roman" w:hAnsi="Times New Roman" w:eastAsia="黑体"/>
          <w:sz w:val="30"/>
          <w:szCs w:val="30"/>
        </w:rPr>
        <w:t>大盘乐观指数与上月基本持平</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大盘乐观指数由上月64</w:t>
      </w:r>
      <w:r>
        <w:rPr>
          <w:rFonts w:ascii="Times New Roman" w:hAnsi="Times New Roman" w:eastAsia="方正仿宋简体"/>
          <w:sz w:val="30"/>
          <w:szCs w:val="30"/>
        </w:rPr>
        <w:t>.</w:t>
      </w:r>
      <w:r>
        <w:rPr>
          <w:rFonts w:hint="eastAsia" w:ascii="Times New Roman" w:hAnsi="Times New Roman" w:eastAsia="方正仿宋简体"/>
          <w:sz w:val="30"/>
          <w:szCs w:val="30"/>
        </w:rPr>
        <w:t>1降至63</w:t>
      </w:r>
      <w:r>
        <w:rPr>
          <w:rFonts w:ascii="Times New Roman" w:hAnsi="Times New Roman" w:eastAsia="方正仿宋简体"/>
          <w:sz w:val="30"/>
          <w:szCs w:val="30"/>
        </w:rPr>
        <w:t>.</w:t>
      </w:r>
      <w:r>
        <w:rPr>
          <w:rFonts w:hint="eastAsia" w:ascii="Times New Roman" w:hAnsi="Times New Roman" w:eastAsia="方正仿宋简体"/>
          <w:sz w:val="30"/>
          <w:szCs w:val="30"/>
        </w:rPr>
        <w:t>9，降幅0</w:t>
      </w:r>
      <w:r>
        <w:rPr>
          <w:rFonts w:ascii="Times New Roman" w:hAnsi="Times New Roman" w:eastAsia="方正仿宋简体"/>
          <w:sz w:val="30"/>
          <w:szCs w:val="30"/>
        </w:rPr>
        <w:t>.</w:t>
      </w:r>
      <w:r>
        <w:rPr>
          <w:rFonts w:hint="eastAsia" w:ascii="Times New Roman" w:hAnsi="Times New Roman" w:eastAsia="方正仿宋简体"/>
          <w:sz w:val="30"/>
          <w:szCs w:val="30"/>
        </w:rPr>
        <w:t>3%，尽管较7月高点（68.8）有所回落，但总体来看仍位于近年来较高水平。其中，认为上证综指在未来一个月可能上涨的投资者占30</w:t>
      </w:r>
      <w:r>
        <w:rPr>
          <w:rFonts w:ascii="Times New Roman" w:hAnsi="Times New Roman" w:eastAsia="方正仿宋简体"/>
          <w:sz w:val="30"/>
          <w:szCs w:val="30"/>
        </w:rPr>
        <w:t>.</w:t>
      </w:r>
      <w:r>
        <w:rPr>
          <w:rFonts w:hint="eastAsia" w:ascii="Times New Roman" w:hAnsi="Times New Roman" w:eastAsia="方正仿宋简体"/>
          <w:sz w:val="30"/>
          <w:szCs w:val="30"/>
        </w:rPr>
        <w:t>1%（上月31</w:t>
      </w:r>
      <w:r>
        <w:rPr>
          <w:rFonts w:ascii="Times New Roman" w:hAnsi="Times New Roman" w:eastAsia="方正仿宋简体"/>
          <w:sz w:val="30"/>
          <w:szCs w:val="30"/>
        </w:rPr>
        <w:t>.</w:t>
      </w:r>
      <w:r>
        <w:rPr>
          <w:rFonts w:hint="eastAsia" w:ascii="Times New Roman" w:hAnsi="Times New Roman" w:eastAsia="方正仿宋简体"/>
          <w:sz w:val="30"/>
          <w:szCs w:val="30"/>
        </w:rPr>
        <w:t>1%），看平的投资者占48</w:t>
      </w:r>
      <w:r>
        <w:rPr>
          <w:rFonts w:ascii="Times New Roman" w:hAnsi="Times New Roman" w:eastAsia="方正仿宋简体"/>
          <w:sz w:val="30"/>
          <w:szCs w:val="30"/>
        </w:rPr>
        <w:t>.</w:t>
      </w:r>
      <w:r>
        <w:rPr>
          <w:rFonts w:hint="eastAsia" w:ascii="Times New Roman" w:hAnsi="Times New Roman" w:eastAsia="方正仿宋简体"/>
          <w:sz w:val="30"/>
          <w:szCs w:val="30"/>
        </w:rPr>
        <w:t>4%（上月45</w:t>
      </w:r>
      <w:r>
        <w:rPr>
          <w:rFonts w:ascii="Times New Roman" w:hAnsi="Times New Roman" w:eastAsia="方正仿宋简体"/>
          <w:sz w:val="30"/>
          <w:szCs w:val="30"/>
        </w:rPr>
        <w:t>.</w:t>
      </w:r>
      <w:r>
        <w:rPr>
          <w:rFonts w:hint="eastAsia" w:ascii="Times New Roman" w:hAnsi="Times New Roman" w:eastAsia="方正仿宋简体"/>
          <w:sz w:val="30"/>
          <w:szCs w:val="30"/>
        </w:rPr>
        <w:t>1%），认为可能会下跌的投资者占9</w:t>
      </w:r>
      <w:r>
        <w:rPr>
          <w:rFonts w:ascii="Times New Roman" w:hAnsi="Times New Roman" w:eastAsia="方正仿宋简体"/>
          <w:color w:val="000000"/>
          <w:sz w:val="30"/>
          <w:szCs w:val="30"/>
        </w:rPr>
        <w:t>.</w:t>
      </w:r>
      <w:r>
        <w:rPr>
          <w:rFonts w:hint="eastAsia" w:ascii="Times New Roman" w:hAnsi="Times New Roman" w:eastAsia="方正仿宋简体"/>
          <w:color w:val="000000"/>
          <w:sz w:val="30"/>
          <w:szCs w:val="30"/>
        </w:rPr>
        <w:t>7%</w:t>
      </w:r>
      <w:r>
        <w:rPr>
          <w:rFonts w:hint="eastAsia" w:ascii="Times New Roman" w:hAnsi="Times New Roman" w:eastAsia="方正仿宋简体"/>
          <w:sz w:val="30"/>
          <w:szCs w:val="30"/>
        </w:rPr>
        <w:t>（上月11</w:t>
      </w:r>
      <w:r>
        <w:rPr>
          <w:rFonts w:ascii="Times New Roman" w:hAnsi="Times New Roman" w:eastAsia="方正仿宋简体"/>
          <w:color w:val="000000"/>
          <w:sz w:val="30"/>
          <w:szCs w:val="30"/>
        </w:rPr>
        <w:t>.</w:t>
      </w:r>
      <w:r>
        <w:rPr>
          <w:rFonts w:hint="eastAsia" w:ascii="Times New Roman" w:hAnsi="Times New Roman" w:eastAsia="方正仿宋简体"/>
          <w:color w:val="000000"/>
          <w:sz w:val="30"/>
          <w:szCs w:val="30"/>
        </w:rPr>
        <w:t>1%</w:t>
      </w:r>
      <w:r>
        <w:rPr>
          <w:rFonts w:hint="eastAsia" w:ascii="Times New Roman" w:hAnsi="Times New Roman" w:eastAsia="方正仿宋简体"/>
          <w:sz w:val="30"/>
          <w:szCs w:val="30"/>
        </w:rPr>
        <w:t>），回答不确定的投资者占</w:t>
      </w:r>
      <w:r>
        <w:rPr>
          <w:rFonts w:ascii="Times New Roman" w:hAnsi="Times New Roman" w:eastAsia="方正仿宋简体"/>
          <w:sz w:val="30"/>
          <w:szCs w:val="30"/>
        </w:rPr>
        <w:t>1</w:t>
      </w:r>
      <w:r>
        <w:rPr>
          <w:rFonts w:hint="eastAsia" w:ascii="Times New Roman" w:hAnsi="Times New Roman" w:eastAsia="方正仿宋简体"/>
          <w:sz w:val="30"/>
          <w:szCs w:val="30"/>
        </w:rPr>
        <w:t>1</w:t>
      </w:r>
      <w:r>
        <w:rPr>
          <w:rFonts w:ascii="Times New Roman" w:hAnsi="Times New Roman" w:eastAsia="方正仿宋简体"/>
          <w:sz w:val="30"/>
          <w:szCs w:val="30"/>
        </w:rPr>
        <w:t>.</w:t>
      </w:r>
      <w:r>
        <w:rPr>
          <w:rFonts w:hint="eastAsia" w:ascii="Times New Roman" w:hAnsi="Times New Roman" w:eastAsia="方正仿宋简体"/>
          <w:sz w:val="30"/>
          <w:szCs w:val="30"/>
        </w:rPr>
        <w:t>8%（上月</w:t>
      </w:r>
      <w:r>
        <w:rPr>
          <w:rFonts w:ascii="Times New Roman" w:hAnsi="Times New Roman" w:eastAsia="方正仿宋简体"/>
          <w:sz w:val="30"/>
          <w:szCs w:val="30"/>
        </w:rPr>
        <w:t>1</w:t>
      </w:r>
      <w:r>
        <w:rPr>
          <w:rFonts w:hint="eastAsia" w:ascii="Times New Roman" w:hAnsi="Times New Roman" w:eastAsia="方正仿宋简体"/>
          <w:sz w:val="30"/>
          <w:szCs w:val="30"/>
        </w:rPr>
        <w:t>2</w:t>
      </w:r>
      <w:r>
        <w:rPr>
          <w:rFonts w:ascii="Times New Roman" w:hAnsi="Times New Roman" w:eastAsia="方正仿宋简体"/>
          <w:sz w:val="30"/>
          <w:szCs w:val="30"/>
        </w:rPr>
        <w:t>.</w:t>
      </w:r>
      <w:r>
        <w:rPr>
          <w:rFonts w:hint="eastAsia" w:ascii="Times New Roman" w:hAnsi="Times New Roman" w:eastAsia="方正仿宋简体"/>
          <w:sz w:val="30"/>
          <w:szCs w:val="30"/>
        </w:rPr>
        <w:t>7%）。预计上证综指在未来三个月可能会上涨的投资者占36.8%（上月37.7%），看平的投资者占40</w:t>
      </w:r>
      <w:r>
        <w:rPr>
          <w:rFonts w:ascii="Times New Roman" w:hAnsi="Times New Roman" w:eastAsia="方正仿宋简体"/>
          <w:sz w:val="30"/>
          <w:szCs w:val="30"/>
        </w:rPr>
        <w:t>.</w:t>
      </w:r>
      <w:r>
        <w:rPr>
          <w:rFonts w:hint="eastAsia" w:ascii="Times New Roman" w:hAnsi="Times New Roman" w:eastAsia="方正仿宋简体"/>
          <w:sz w:val="30"/>
          <w:szCs w:val="30"/>
        </w:rPr>
        <w:t>6%（上月37</w:t>
      </w:r>
      <w:r>
        <w:rPr>
          <w:rFonts w:ascii="Times New Roman" w:hAnsi="Times New Roman" w:eastAsia="方正仿宋简体"/>
          <w:sz w:val="30"/>
          <w:szCs w:val="30"/>
        </w:rPr>
        <w:t>.</w:t>
      </w:r>
      <w:r>
        <w:rPr>
          <w:rFonts w:hint="eastAsia" w:ascii="Times New Roman" w:hAnsi="Times New Roman" w:eastAsia="方正仿宋简体"/>
          <w:sz w:val="30"/>
          <w:szCs w:val="30"/>
        </w:rPr>
        <w:t>4%），认为可能会下跌的投资者占8</w:t>
      </w:r>
      <w:r>
        <w:rPr>
          <w:rFonts w:ascii="Times New Roman" w:hAnsi="Times New Roman" w:eastAsia="方正仿宋简体"/>
          <w:sz w:val="30"/>
          <w:szCs w:val="30"/>
        </w:rPr>
        <w:t>.</w:t>
      </w:r>
      <w:r>
        <w:rPr>
          <w:rFonts w:hint="eastAsia" w:ascii="Times New Roman" w:hAnsi="Times New Roman" w:eastAsia="方正仿宋简体"/>
          <w:sz w:val="30"/>
          <w:szCs w:val="30"/>
        </w:rPr>
        <w:t>8%（上月9</w:t>
      </w:r>
      <w:r>
        <w:rPr>
          <w:rFonts w:ascii="Times New Roman" w:hAnsi="Times New Roman" w:eastAsia="方正仿宋简体"/>
          <w:sz w:val="30"/>
          <w:szCs w:val="30"/>
        </w:rPr>
        <w:t>.</w:t>
      </w:r>
      <w:r>
        <w:rPr>
          <w:rFonts w:hint="eastAsia" w:ascii="Times New Roman" w:hAnsi="Times New Roman" w:eastAsia="方正仿宋简体"/>
          <w:sz w:val="30"/>
          <w:szCs w:val="30"/>
        </w:rPr>
        <w:t>6%），回答不确定的投资者占13.8%（上月15.3%）。</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从更长的时间周期看，认为在未来六个月内中国股市会上涨的投资者占32.7%（上月34.5%），选择盘整的投资者占41.9%（上月40.6%），认为可能会下跌的投资者占8.2%（上月8.5%），回答不确定的投资者占17.2%（上月16.4%）。</w:t>
      </w:r>
    </w:p>
    <w:p>
      <w:pPr>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三</w:t>
      </w:r>
      <w:bookmarkStart w:id="10" w:name="_Hlk40088930"/>
      <w:r>
        <w:rPr>
          <w:rFonts w:hint="eastAsia" w:ascii="Times New Roman" w:hAnsi="Times New Roman" w:eastAsia="黑体"/>
          <w:sz w:val="30"/>
          <w:szCs w:val="30"/>
        </w:rPr>
        <w:t>、大盘反弹指数小幅下降仍位于50中值上方</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大盘反弹指数由上月56</w:t>
      </w:r>
      <w:r>
        <w:rPr>
          <w:rFonts w:ascii="Times New Roman" w:hAnsi="Times New Roman" w:eastAsia="方正仿宋简体"/>
          <w:sz w:val="30"/>
          <w:szCs w:val="30"/>
        </w:rPr>
        <w:t>.</w:t>
      </w:r>
      <w:r>
        <w:rPr>
          <w:rFonts w:hint="eastAsia" w:ascii="Times New Roman" w:hAnsi="Times New Roman" w:eastAsia="方正仿宋简体"/>
          <w:sz w:val="30"/>
          <w:szCs w:val="30"/>
        </w:rPr>
        <w:t>3降至54</w:t>
      </w:r>
      <w:r>
        <w:rPr>
          <w:rFonts w:ascii="Times New Roman" w:hAnsi="Times New Roman" w:eastAsia="方正仿宋简体"/>
          <w:sz w:val="30"/>
          <w:szCs w:val="30"/>
        </w:rPr>
        <w:t>.</w:t>
      </w:r>
      <w:r>
        <w:rPr>
          <w:rFonts w:hint="eastAsia" w:ascii="Times New Roman" w:hAnsi="Times New Roman" w:eastAsia="方正仿宋简体"/>
          <w:sz w:val="30"/>
          <w:szCs w:val="30"/>
        </w:rPr>
        <w:t>9，降幅2</w:t>
      </w:r>
      <w:r>
        <w:rPr>
          <w:rFonts w:ascii="Times New Roman" w:hAnsi="Times New Roman" w:eastAsia="方正仿宋简体"/>
          <w:sz w:val="30"/>
          <w:szCs w:val="30"/>
        </w:rPr>
        <w:t>.</w:t>
      </w:r>
      <w:r>
        <w:rPr>
          <w:rFonts w:hint="eastAsia" w:ascii="Times New Roman" w:hAnsi="Times New Roman" w:eastAsia="方正仿宋简体"/>
          <w:sz w:val="30"/>
          <w:szCs w:val="30"/>
        </w:rPr>
        <w:t>5%，投资者对大盘下跌后实现反弹的信心连续两个月小幅回落但仍位于偏乐观区间。如果上证综指在未来一个月内下跌10%，预计在接下去的一个月再涨回来的可能性“较大”的投资者占39</w:t>
      </w:r>
      <w:r>
        <w:rPr>
          <w:rFonts w:ascii="Times New Roman" w:hAnsi="Times New Roman" w:eastAsia="方正仿宋简体"/>
          <w:sz w:val="30"/>
          <w:szCs w:val="30"/>
        </w:rPr>
        <w:t>.</w:t>
      </w:r>
      <w:r>
        <w:rPr>
          <w:rFonts w:hint="eastAsia" w:ascii="Times New Roman" w:hAnsi="Times New Roman" w:eastAsia="方正仿宋简体"/>
          <w:sz w:val="30"/>
          <w:szCs w:val="30"/>
        </w:rPr>
        <w:t>3%（上月43</w:t>
      </w:r>
      <w:r>
        <w:rPr>
          <w:rFonts w:ascii="Times New Roman" w:hAnsi="Times New Roman" w:eastAsia="方正仿宋简体"/>
          <w:sz w:val="30"/>
          <w:szCs w:val="30"/>
        </w:rPr>
        <w:t>.</w:t>
      </w:r>
      <w:r>
        <w:rPr>
          <w:rFonts w:hint="eastAsia" w:ascii="Times New Roman" w:hAnsi="Times New Roman" w:eastAsia="方正仿宋简体"/>
          <w:sz w:val="30"/>
          <w:szCs w:val="30"/>
        </w:rPr>
        <w:t>0%），选择“可能”的投资者占29</w:t>
      </w:r>
      <w:r>
        <w:rPr>
          <w:rFonts w:ascii="Times New Roman" w:hAnsi="Times New Roman" w:eastAsia="方正仿宋简体"/>
          <w:sz w:val="30"/>
          <w:szCs w:val="30"/>
        </w:rPr>
        <w:t>.</w:t>
      </w:r>
      <w:r>
        <w:rPr>
          <w:rFonts w:hint="eastAsia" w:ascii="Times New Roman" w:hAnsi="Times New Roman" w:eastAsia="方正仿宋简体"/>
          <w:sz w:val="30"/>
          <w:szCs w:val="30"/>
        </w:rPr>
        <w:t>5%（上月28</w:t>
      </w:r>
      <w:r>
        <w:rPr>
          <w:rFonts w:ascii="Times New Roman" w:hAnsi="Times New Roman" w:eastAsia="方正仿宋简体"/>
          <w:sz w:val="30"/>
          <w:szCs w:val="30"/>
        </w:rPr>
        <w:t>.</w:t>
      </w:r>
      <w:r>
        <w:rPr>
          <w:rFonts w:hint="eastAsia" w:ascii="Times New Roman" w:hAnsi="Times New Roman" w:eastAsia="方正仿宋简体"/>
          <w:sz w:val="30"/>
          <w:szCs w:val="30"/>
        </w:rPr>
        <w:t>7%），认为可能性“较小”的投资者占21</w:t>
      </w:r>
      <w:r>
        <w:rPr>
          <w:rFonts w:ascii="Times New Roman" w:hAnsi="Times New Roman" w:eastAsia="方正仿宋简体"/>
          <w:sz w:val="30"/>
          <w:szCs w:val="30"/>
        </w:rPr>
        <w:t>.</w:t>
      </w:r>
      <w:r>
        <w:rPr>
          <w:rFonts w:hint="eastAsia" w:ascii="Times New Roman" w:hAnsi="Times New Roman" w:eastAsia="方正仿宋简体"/>
          <w:sz w:val="30"/>
          <w:szCs w:val="30"/>
        </w:rPr>
        <w:t>6%（上月18</w:t>
      </w:r>
      <w:r>
        <w:rPr>
          <w:rFonts w:ascii="Times New Roman" w:hAnsi="Times New Roman" w:eastAsia="方正仿宋简体"/>
          <w:sz w:val="30"/>
          <w:szCs w:val="30"/>
        </w:rPr>
        <w:t>.</w:t>
      </w:r>
      <w:r>
        <w:rPr>
          <w:rFonts w:hint="eastAsia" w:ascii="Times New Roman" w:hAnsi="Times New Roman" w:eastAsia="方正仿宋简体"/>
          <w:sz w:val="30"/>
          <w:szCs w:val="30"/>
        </w:rPr>
        <w:t>2%），选择“不确定”的投资者占9</w:t>
      </w:r>
      <w:r>
        <w:rPr>
          <w:rFonts w:ascii="Times New Roman" w:hAnsi="Times New Roman" w:eastAsia="方正仿宋简体"/>
          <w:sz w:val="30"/>
          <w:szCs w:val="30"/>
        </w:rPr>
        <w:t>.</w:t>
      </w:r>
      <w:r>
        <w:rPr>
          <w:rFonts w:hint="eastAsia" w:ascii="Times New Roman" w:hAnsi="Times New Roman" w:eastAsia="方正仿宋简体"/>
          <w:sz w:val="30"/>
          <w:szCs w:val="30"/>
        </w:rPr>
        <w:t>6%（上月10</w:t>
      </w:r>
      <w:r>
        <w:rPr>
          <w:rFonts w:ascii="Times New Roman" w:hAnsi="Times New Roman" w:eastAsia="方正仿宋简体"/>
          <w:sz w:val="30"/>
          <w:szCs w:val="30"/>
        </w:rPr>
        <w:t>.</w:t>
      </w:r>
      <w:r>
        <w:rPr>
          <w:rFonts w:hint="eastAsia" w:ascii="Times New Roman" w:hAnsi="Times New Roman" w:eastAsia="方正仿宋简体"/>
          <w:sz w:val="30"/>
          <w:szCs w:val="30"/>
        </w:rPr>
        <w:t>1%）。</w:t>
      </w:r>
      <w:bookmarkEnd w:id="10"/>
    </w:p>
    <w:bookmarkEnd w:id="9"/>
    <w:p>
      <w:pPr>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四、大盘抗跌指数上升</w:t>
      </w:r>
    </w:p>
    <w:p>
      <w:pPr>
        <w:spacing w:line="360" w:lineRule="auto"/>
        <w:ind w:firstLine="600" w:firstLineChars="200"/>
        <w:rPr>
          <w:rFonts w:ascii="Times New Roman" w:hAnsi="Times New Roman" w:eastAsia="方正仿宋简体"/>
          <w:sz w:val="30"/>
          <w:szCs w:val="30"/>
        </w:rPr>
      </w:pPr>
      <w:bookmarkStart w:id="11" w:name="_Hlk40088912"/>
      <w:r>
        <w:rPr>
          <w:rFonts w:hint="eastAsia" w:ascii="Times New Roman" w:hAnsi="Times New Roman" w:eastAsia="方正仿宋简体"/>
          <w:sz w:val="30"/>
          <w:szCs w:val="30"/>
        </w:rPr>
        <w:t>大盘抗跌指数由上月</w:t>
      </w:r>
      <w:r>
        <w:rPr>
          <w:rFonts w:ascii="Times New Roman" w:hAnsi="Times New Roman" w:eastAsia="方正仿宋简体"/>
          <w:sz w:val="30"/>
          <w:szCs w:val="30"/>
        </w:rPr>
        <w:t>6</w:t>
      </w:r>
      <w:r>
        <w:rPr>
          <w:rFonts w:hint="eastAsia" w:ascii="Times New Roman" w:hAnsi="Times New Roman" w:eastAsia="方正仿宋简体"/>
          <w:sz w:val="30"/>
          <w:szCs w:val="30"/>
        </w:rPr>
        <w:t>5</w:t>
      </w:r>
      <w:r>
        <w:rPr>
          <w:rFonts w:ascii="Times New Roman" w:hAnsi="Times New Roman" w:eastAsia="方正仿宋简体"/>
          <w:sz w:val="30"/>
          <w:szCs w:val="30"/>
        </w:rPr>
        <w:t>.</w:t>
      </w:r>
      <w:r>
        <w:rPr>
          <w:rFonts w:hint="eastAsia" w:ascii="Times New Roman" w:hAnsi="Times New Roman" w:eastAsia="方正仿宋简体"/>
          <w:sz w:val="30"/>
          <w:szCs w:val="30"/>
        </w:rPr>
        <w:t>6升至</w:t>
      </w:r>
      <w:r>
        <w:rPr>
          <w:rFonts w:ascii="Times New Roman" w:hAnsi="Times New Roman" w:eastAsia="方正仿宋简体"/>
          <w:sz w:val="30"/>
          <w:szCs w:val="30"/>
        </w:rPr>
        <w:t>6</w:t>
      </w:r>
      <w:r>
        <w:rPr>
          <w:rFonts w:hint="eastAsia" w:ascii="Times New Roman" w:hAnsi="Times New Roman" w:eastAsia="方正仿宋简体"/>
          <w:sz w:val="30"/>
          <w:szCs w:val="30"/>
        </w:rPr>
        <w:t>6</w:t>
      </w:r>
      <w:r>
        <w:rPr>
          <w:rFonts w:ascii="Times New Roman" w:hAnsi="Times New Roman" w:eastAsia="方正仿宋简体"/>
          <w:sz w:val="30"/>
          <w:szCs w:val="30"/>
        </w:rPr>
        <w:t>.</w:t>
      </w:r>
      <w:r>
        <w:rPr>
          <w:rFonts w:hint="eastAsia" w:ascii="Times New Roman" w:hAnsi="Times New Roman" w:eastAsia="方正仿宋简体"/>
          <w:sz w:val="30"/>
          <w:szCs w:val="30"/>
        </w:rPr>
        <w:t>8，升幅1</w:t>
      </w:r>
      <w:r>
        <w:rPr>
          <w:rFonts w:ascii="Times New Roman" w:hAnsi="Times New Roman" w:eastAsia="方正仿宋简体"/>
          <w:sz w:val="30"/>
          <w:szCs w:val="30"/>
        </w:rPr>
        <w:t>.</w:t>
      </w:r>
      <w:r>
        <w:rPr>
          <w:rFonts w:hint="eastAsia" w:ascii="Times New Roman" w:hAnsi="Times New Roman" w:eastAsia="方正仿宋简体"/>
          <w:sz w:val="30"/>
          <w:szCs w:val="30"/>
        </w:rPr>
        <w:t>8%。其中，认为上证综指在未来一个月内下跌10%的可能性“较小”的投资者占45</w:t>
      </w:r>
      <w:r>
        <w:rPr>
          <w:rFonts w:ascii="Times New Roman" w:hAnsi="Times New Roman" w:eastAsia="方正仿宋简体"/>
          <w:sz w:val="30"/>
          <w:szCs w:val="30"/>
        </w:rPr>
        <w:t>.</w:t>
      </w:r>
      <w:r>
        <w:rPr>
          <w:rFonts w:hint="eastAsia" w:ascii="Times New Roman" w:hAnsi="Times New Roman" w:eastAsia="方正仿宋简体"/>
          <w:sz w:val="30"/>
          <w:szCs w:val="30"/>
        </w:rPr>
        <w:t>2%（上月42</w:t>
      </w:r>
      <w:r>
        <w:rPr>
          <w:rFonts w:ascii="Times New Roman" w:hAnsi="Times New Roman" w:eastAsia="方正仿宋简体"/>
          <w:sz w:val="30"/>
          <w:szCs w:val="30"/>
        </w:rPr>
        <w:t>.</w:t>
      </w:r>
      <w:r>
        <w:rPr>
          <w:rFonts w:hint="eastAsia" w:ascii="Times New Roman" w:hAnsi="Times New Roman" w:eastAsia="方正仿宋简体"/>
          <w:sz w:val="30"/>
          <w:szCs w:val="30"/>
        </w:rPr>
        <w:t>0%），认为“可能”的投资者占36</w:t>
      </w:r>
      <w:r>
        <w:rPr>
          <w:rFonts w:ascii="Times New Roman" w:hAnsi="Times New Roman" w:eastAsia="方正仿宋简体"/>
          <w:sz w:val="30"/>
          <w:szCs w:val="30"/>
        </w:rPr>
        <w:t>.</w:t>
      </w:r>
      <w:r>
        <w:rPr>
          <w:rFonts w:hint="eastAsia" w:ascii="Times New Roman" w:hAnsi="Times New Roman" w:eastAsia="方正仿宋简体"/>
          <w:sz w:val="30"/>
          <w:szCs w:val="30"/>
        </w:rPr>
        <w:t>0%（上月37</w:t>
      </w:r>
      <w:r>
        <w:rPr>
          <w:rFonts w:ascii="Times New Roman" w:hAnsi="Times New Roman" w:eastAsia="方正仿宋简体"/>
          <w:sz w:val="30"/>
          <w:szCs w:val="30"/>
        </w:rPr>
        <w:t>.</w:t>
      </w:r>
      <w:r>
        <w:rPr>
          <w:rFonts w:hint="eastAsia" w:ascii="Times New Roman" w:hAnsi="Times New Roman" w:eastAsia="方正仿宋简体"/>
          <w:sz w:val="30"/>
          <w:szCs w:val="30"/>
        </w:rPr>
        <w:t>1%），认为可能性“较大”的投资者占8</w:t>
      </w:r>
      <w:r>
        <w:rPr>
          <w:rFonts w:ascii="Times New Roman" w:hAnsi="Times New Roman" w:eastAsia="方正仿宋简体"/>
          <w:sz w:val="30"/>
          <w:szCs w:val="30"/>
        </w:rPr>
        <w:t>.</w:t>
      </w:r>
      <w:r>
        <w:rPr>
          <w:rFonts w:hint="eastAsia" w:ascii="Times New Roman" w:hAnsi="Times New Roman" w:eastAsia="方正仿宋简体"/>
          <w:sz w:val="30"/>
          <w:szCs w:val="30"/>
        </w:rPr>
        <w:t>9%（上月10</w:t>
      </w:r>
      <w:r>
        <w:rPr>
          <w:rFonts w:ascii="Times New Roman" w:hAnsi="Times New Roman" w:eastAsia="方正仿宋简体"/>
          <w:sz w:val="30"/>
          <w:szCs w:val="30"/>
        </w:rPr>
        <w:t>.</w:t>
      </w:r>
      <w:r>
        <w:rPr>
          <w:rFonts w:hint="eastAsia" w:ascii="Times New Roman" w:hAnsi="Times New Roman" w:eastAsia="方正仿宋简体"/>
          <w:sz w:val="30"/>
          <w:szCs w:val="30"/>
        </w:rPr>
        <w:t>0%），回答“不确定”的投资者占9</w:t>
      </w:r>
      <w:r>
        <w:rPr>
          <w:rFonts w:ascii="Times New Roman" w:hAnsi="Times New Roman" w:eastAsia="方正仿宋简体"/>
          <w:sz w:val="30"/>
          <w:szCs w:val="30"/>
        </w:rPr>
        <w:t>.</w:t>
      </w:r>
      <w:r>
        <w:rPr>
          <w:rFonts w:hint="eastAsia" w:ascii="Times New Roman" w:hAnsi="Times New Roman" w:eastAsia="方正仿宋简体"/>
          <w:sz w:val="30"/>
          <w:szCs w:val="30"/>
        </w:rPr>
        <w:t>9%（上月10</w:t>
      </w:r>
      <w:r>
        <w:rPr>
          <w:rFonts w:ascii="Times New Roman" w:hAnsi="Times New Roman" w:eastAsia="方正仿宋简体"/>
          <w:sz w:val="30"/>
          <w:szCs w:val="30"/>
        </w:rPr>
        <w:t>.</w:t>
      </w:r>
      <w:r>
        <w:rPr>
          <w:rFonts w:hint="eastAsia" w:ascii="Times New Roman" w:hAnsi="Times New Roman" w:eastAsia="方正仿宋简体"/>
          <w:sz w:val="30"/>
          <w:szCs w:val="30"/>
        </w:rPr>
        <w:t>9%）。</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认为上证综指在未来六个月内下跌30%可能性“较小”的投资者占58</w:t>
      </w:r>
      <w:r>
        <w:rPr>
          <w:rFonts w:ascii="Times New Roman" w:hAnsi="Times New Roman" w:eastAsia="方正仿宋简体"/>
          <w:sz w:val="30"/>
          <w:szCs w:val="30"/>
        </w:rPr>
        <w:t>.</w:t>
      </w:r>
      <w:r>
        <w:rPr>
          <w:rFonts w:hint="eastAsia" w:ascii="Times New Roman" w:hAnsi="Times New Roman" w:eastAsia="方正仿宋简体"/>
          <w:sz w:val="30"/>
          <w:szCs w:val="30"/>
        </w:rPr>
        <w:t>7%（上月57</w:t>
      </w:r>
      <w:r>
        <w:rPr>
          <w:rFonts w:ascii="Times New Roman" w:hAnsi="Times New Roman" w:eastAsia="方正仿宋简体"/>
          <w:sz w:val="30"/>
          <w:szCs w:val="30"/>
        </w:rPr>
        <w:t>.</w:t>
      </w:r>
      <w:r>
        <w:rPr>
          <w:rFonts w:hint="eastAsia" w:ascii="Times New Roman" w:hAnsi="Times New Roman" w:eastAsia="方正仿宋简体"/>
          <w:sz w:val="30"/>
          <w:szCs w:val="30"/>
        </w:rPr>
        <w:t>5%），认为“可能”的投资者占</w:t>
      </w:r>
      <w:r>
        <w:rPr>
          <w:rFonts w:ascii="Times New Roman" w:hAnsi="Times New Roman" w:eastAsia="方正仿宋简体"/>
          <w:sz w:val="30"/>
          <w:szCs w:val="30"/>
        </w:rPr>
        <w:t>2</w:t>
      </w:r>
      <w:r>
        <w:rPr>
          <w:rFonts w:hint="eastAsia" w:ascii="Times New Roman" w:hAnsi="Times New Roman" w:eastAsia="方正仿宋简体"/>
          <w:sz w:val="30"/>
          <w:szCs w:val="30"/>
        </w:rPr>
        <w:t>5</w:t>
      </w:r>
      <w:r>
        <w:rPr>
          <w:rFonts w:ascii="Times New Roman" w:hAnsi="Times New Roman" w:eastAsia="方正仿宋简体"/>
          <w:sz w:val="30"/>
          <w:szCs w:val="30"/>
        </w:rPr>
        <w:t>.</w:t>
      </w:r>
      <w:r>
        <w:rPr>
          <w:rFonts w:hint="eastAsia" w:ascii="Times New Roman" w:hAnsi="Times New Roman" w:eastAsia="方正仿宋简体"/>
          <w:sz w:val="30"/>
          <w:szCs w:val="30"/>
        </w:rPr>
        <w:t>2%（上月</w:t>
      </w:r>
      <w:r>
        <w:rPr>
          <w:rFonts w:ascii="Times New Roman" w:hAnsi="Times New Roman" w:eastAsia="方正仿宋简体"/>
          <w:sz w:val="30"/>
          <w:szCs w:val="30"/>
        </w:rPr>
        <w:t>2</w:t>
      </w:r>
      <w:r>
        <w:rPr>
          <w:rFonts w:hint="eastAsia" w:ascii="Times New Roman" w:hAnsi="Times New Roman" w:eastAsia="方正仿宋简体"/>
          <w:sz w:val="30"/>
          <w:szCs w:val="30"/>
        </w:rPr>
        <w:t>4</w:t>
      </w:r>
      <w:r>
        <w:rPr>
          <w:rFonts w:ascii="Times New Roman" w:hAnsi="Times New Roman" w:eastAsia="方正仿宋简体"/>
          <w:sz w:val="30"/>
          <w:szCs w:val="30"/>
        </w:rPr>
        <w:t>.</w:t>
      </w:r>
      <w:r>
        <w:rPr>
          <w:rFonts w:hint="eastAsia" w:ascii="Times New Roman" w:hAnsi="Times New Roman" w:eastAsia="方正仿宋简体"/>
          <w:sz w:val="30"/>
          <w:szCs w:val="30"/>
        </w:rPr>
        <w:t>6%），认为可能性“较大”的投资者占5</w:t>
      </w:r>
      <w:r>
        <w:rPr>
          <w:rFonts w:ascii="Times New Roman" w:hAnsi="Times New Roman" w:eastAsia="方正仿宋简体"/>
          <w:sz w:val="30"/>
          <w:szCs w:val="30"/>
        </w:rPr>
        <w:t>.</w:t>
      </w:r>
      <w:r>
        <w:rPr>
          <w:rFonts w:hint="eastAsia" w:ascii="Times New Roman" w:hAnsi="Times New Roman" w:eastAsia="方正仿宋简体"/>
          <w:sz w:val="30"/>
          <w:szCs w:val="30"/>
        </w:rPr>
        <w:t>7%（上月7</w:t>
      </w:r>
      <w:r>
        <w:rPr>
          <w:rFonts w:ascii="Times New Roman" w:hAnsi="Times New Roman" w:eastAsia="方正仿宋简体"/>
          <w:sz w:val="30"/>
          <w:szCs w:val="30"/>
        </w:rPr>
        <w:t>.</w:t>
      </w:r>
      <w:r>
        <w:rPr>
          <w:rFonts w:hint="eastAsia" w:ascii="Times New Roman" w:hAnsi="Times New Roman" w:eastAsia="方正仿宋简体"/>
          <w:sz w:val="30"/>
          <w:szCs w:val="30"/>
        </w:rPr>
        <w:t>4%），回答“不确定”的投资者占10</w:t>
      </w:r>
      <w:r>
        <w:rPr>
          <w:rFonts w:ascii="Times New Roman" w:hAnsi="Times New Roman" w:eastAsia="方正仿宋简体"/>
          <w:sz w:val="30"/>
          <w:szCs w:val="30"/>
        </w:rPr>
        <w:t>.</w:t>
      </w:r>
      <w:r>
        <w:rPr>
          <w:rFonts w:hint="eastAsia" w:ascii="Times New Roman" w:hAnsi="Times New Roman" w:eastAsia="方正仿宋简体"/>
          <w:sz w:val="30"/>
          <w:szCs w:val="30"/>
        </w:rPr>
        <w:t>4%（上月10</w:t>
      </w:r>
      <w:r>
        <w:rPr>
          <w:rFonts w:ascii="Times New Roman" w:hAnsi="Times New Roman" w:eastAsia="方正仿宋简体"/>
          <w:sz w:val="30"/>
          <w:szCs w:val="30"/>
        </w:rPr>
        <w:t>.</w:t>
      </w:r>
      <w:r>
        <w:rPr>
          <w:rFonts w:hint="eastAsia" w:ascii="Times New Roman" w:hAnsi="Times New Roman" w:eastAsia="方正仿宋简体"/>
          <w:sz w:val="30"/>
          <w:szCs w:val="30"/>
        </w:rPr>
        <w:t>5%）。</w:t>
      </w:r>
    </w:p>
    <w:bookmarkEnd w:id="11"/>
    <w:p>
      <w:pPr>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五、</w:t>
      </w:r>
      <w:bookmarkStart w:id="12" w:name="_Hlk40088943"/>
      <w:r>
        <w:rPr>
          <w:rFonts w:hint="eastAsia" w:ascii="Times New Roman" w:hAnsi="Times New Roman" w:eastAsia="黑体"/>
          <w:sz w:val="30"/>
          <w:szCs w:val="30"/>
        </w:rPr>
        <w:t>投资者买入指数降幅收窄连续十个月位于偏积极区间</w:t>
      </w: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投资者买入指数由上月57.1降至55.0，降幅3</w:t>
      </w:r>
      <w:r>
        <w:rPr>
          <w:rFonts w:ascii="Times New Roman" w:hAnsi="Times New Roman" w:eastAsia="方正仿宋简体"/>
          <w:sz w:val="30"/>
          <w:szCs w:val="30"/>
        </w:rPr>
        <w:t>.</w:t>
      </w:r>
      <w:r>
        <w:rPr>
          <w:rFonts w:hint="eastAsia" w:ascii="Times New Roman" w:hAnsi="Times New Roman" w:eastAsia="方正仿宋简体"/>
          <w:sz w:val="30"/>
          <w:szCs w:val="30"/>
        </w:rPr>
        <w:t>7%，与上月降幅（6.7%）相比有所收窄，该指数自去年12月连续十个月位于偏积极区间。其中，在未来三个月内考虑增加投资于股票资金量的投资者占19</w:t>
      </w:r>
      <w:r>
        <w:rPr>
          <w:rFonts w:ascii="Times New Roman" w:hAnsi="Times New Roman" w:eastAsia="方正仿宋简体"/>
          <w:sz w:val="30"/>
          <w:szCs w:val="30"/>
        </w:rPr>
        <w:t>.</w:t>
      </w:r>
      <w:r>
        <w:rPr>
          <w:rFonts w:hint="eastAsia" w:ascii="Times New Roman" w:hAnsi="Times New Roman" w:eastAsia="方正仿宋简体"/>
          <w:sz w:val="30"/>
          <w:szCs w:val="30"/>
        </w:rPr>
        <w:t>2%（上月21</w:t>
      </w:r>
      <w:r>
        <w:rPr>
          <w:rFonts w:ascii="Times New Roman" w:hAnsi="Times New Roman" w:eastAsia="方正仿宋简体"/>
          <w:sz w:val="30"/>
          <w:szCs w:val="30"/>
        </w:rPr>
        <w:t>.</w:t>
      </w:r>
      <w:r>
        <w:rPr>
          <w:rFonts w:hint="eastAsia" w:ascii="Times New Roman" w:hAnsi="Times New Roman" w:eastAsia="方正仿宋简体"/>
          <w:sz w:val="30"/>
          <w:szCs w:val="30"/>
        </w:rPr>
        <w:t>8%），考虑减少的投资者占11.2%（上月10.8%），选择维持现有投入资金量的投资者占48</w:t>
      </w:r>
      <w:r>
        <w:rPr>
          <w:rFonts w:ascii="Times New Roman" w:hAnsi="Times New Roman" w:eastAsia="方正仿宋简体"/>
          <w:sz w:val="30"/>
          <w:szCs w:val="30"/>
        </w:rPr>
        <w:t>.</w:t>
      </w:r>
      <w:r>
        <w:rPr>
          <w:rFonts w:hint="eastAsia" w:ascii="Times New Roman" w:hAnsi="Times New Roman" w:eastAsia="方正仿宋简体"/>
          <w:sz w:val="30"/>
          <w:szCs w:val="30"/>
        </w:rPr>
        <w:t>4%（上月43</w:t>
      </w:r>
      <w:r>
        <w:rPr>
          <w:rFonts w:ascii="Times New Roman" w:hAnsi="Times New Roman" w:eastAsia="方正仿宋简体"/>
          <w:sz w:val="30"/>
          <w:szCs w:val="30"/>
        </w:rPr>
        <w:t>.</w:t>
      </w:r>
      <w:r>
        <w:rPr>
          <w:rFonts w:hint="eastAsia" w:ascii="Times New Roman" w:hAnsi="Times New Roman" w:eastAsia="方正仿宋简体"/>
          <w:sz w:val="30"/>
          <w:szCs w:val="30"/>
        </w:rPr>
        <w:t>9%），回答“不确定”的投资者占21</w:t>
      </w:r>
      <w:r>
        <w:rPr>
          <w:rFonts w:ascii="Times New Roman" w:hAnsi="Times New Roman" w:eastAsia="方正仿宋简体"/>
          <w:sz w:val="30"/>
          <w:szCs w:val="30"/>
        </w:rPr>
        <w:t>.</w:t>
      </w:r>
      <w:r>
        <w:rPr>
          <w:rFonts w:hint="eastAsia" w:ascii="Times New Roman" w:hAnsi="Times New Roman" w:eastAsia="方正仿宋简体"/>
          <w:sz w:val="30"/>
          <w:szCs w:val="30"/>
        </w:rPr>
        <w:t>2</w:t>
      </w:r>
      <w:r>
        <w:rPr>
          <w:rFonts w:ascii="Times New Roman" w:hAnsi="Times New Roman" w:eastAsia="方正仿宋简体"/>
          <w:sz w:val="30"/>
          <w:szCs w:val="30"/>
        </w:rPr>
        <w:t>%</w:t>
      </w:r>
      <w:r>
        <w:rPr>
          <w:rFonts w:hint="eastAsia" w:ascii="Times New Roman" w:hAnsi="Times New Roman" w:eastAsia="方正仿宋简体"/>
          <w:sz w:val="30"/>
          <w:szCs w:val="30"/>
        </w:rPr>
        <w:t>（上月23</w:t>
      </w:r>
      <w:r>
        <w:rPr>
          <w:rFonts w:ascii="Times New Roman" w:hAnsi="Times New Roman" w:eastAsia="方正仿宋简体"/>
          <w:sz w:val="30"/>
          <w:szCs w:val="30"/>
        </w:rPr>
        <w:t>.</w:t>
      </w:r>
      <w:r>
        <w:rPr>
          <w:rFonts w:hint="eastAsia" w:ascii="Times New Roman" w:hAnsi="Times New Roman" w:eastAsia="方正仿宋简体"/>
          <w:sz w:val="30"/>
          <w:szCs w:val="30"/>
        </w:rPr>
        <w:t>5</w:t>
      </w:r>
      <w:r>
        <w:rPr>
          <w:rFonts w:ascii="Times New Roman" w:hAnsi="Times New Roman" w:eastAsia="方正仿宋简体"/>
          <w:sz w:val="30"/>
          <w:szCs w:val="30"/>
        </w:rPr>
        <w:t>%</w:t>
      </w:r>
      <w:r>
        <w:rPr>
          <w:rFonts w:hint="eastAsia" w:ascii="Times New Roman" w:hAnsi="Times New Roman" w:eastAsia="方正仿宋简体"/>
          <w:sz w:val="30"/>
          <w:szCs w:val="30"/>
        </w:rPr>
        <w:t>）。</w:t>
      </w:r>
      <w:bookmarkEnd w:id="12"/>
    </w:p>
    <w:p>
      <w:pPr>
        <w:spacing w:line="360" w:lineRule="auto"/>
        <w:rPr>
          <w:rFonts w:ascii="Times New Roman" w:hAnsi="Times New Roman" w:eastAsia="方正仿宋简体"/>
          <w:sz w:val="30"/>
          <w:szCs w:val="30"/>
        </w:rPr>
      </w:pPr>
    </w:p>
    <w:p>
      <w:pPr>
        <w:spacing w:line="360" w:lineRule="auto"/>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附件：1.中国证券市场投资者信心指数及其子指数图</w:t>
      </w:r>
    </w:p>
    <w:p>
      <w:pPr>
        <w:spacing w:line="360" w:lineRule="auto"/>
        <w:ind w:firstLine="1500" w:firstLineChars="500"/>
        <w:rPr>
          <w:rFonts w:ascii="Times New Roman" w:hAnsi="Times New Roman" w:eastAsia="方正仿宋简体"/>
          <w:sz w:val="30"/>
          <w:szCs w:val="30"/>
        </w:rPr>
      </w:pPr>
      <w:r>
        <w:rPr>
          <w:rFonts w:hint="eastAsia" w:ascii="Times New Roman" w:hAnsi="Times New Roman" w:eastAsia="方正仿宋简体"/>
          <w:sz w:val="30"/>
          <w:szCs w:val="30"/>
        </w:rPr>
        <w:t>2.中国证券市场投资者信心指数与上证综指走势对</w:t>
      </w:r>
    </w:p>
    <w:p>
      <w:pPr>
        <w:spacing w:line="360" w:lineRule="auto"/>
        <w:ind w:left="73" w:leftChars="35" w:firstLine="1650" w:firstLineChars="550"/>
        <w:rPr>
          <w:rFonts w:ascii="Times New Roman" w:hAnsi="Times New Roman" w:eastAsia="方正仿宋简体"/>
          <w:sz w:val="30"/>
          <w:szCs w:val="30"/>
        </w:rPr>
      </w:pPr>
      <w:r>
        <w:rPr>
          <w:rFonts w:hint="eastAsia" w:ascii="Times New Roman" w:hAnsi="Times New Roman" w:eastAsia="方正仿宋简体"/>
          <w:sz w:val="30"/>
          <w:szCs w:val="30"/>
        </w:rPr>
        <w:t>比图</w:t>
      </w:r>
    </w:p>
    <w:p>
      <w:pPr>
        <w:rPr>
          <w:rFonts w:ascii="Times New Roman" w:hAnsi="Times New Roman" w:eastAsia="方正仿宋简体"/>
          <w:sz w:val="30"/>
          <w:szCs w:val="30"/>
        </w:rPr>
      </w:pPr>
    </w:p>
    <w:p>
      <w:pPr>
        <w:rPr>
          <w:rFonts w:ascii="Times New Roman" w:hAnsi="Times New Roman" w:eastAsia="方正仿宋简体"/>
          <w:sz w:val="30"/>
          <w:szCs w:val="30"/>
        </w:rPr>
      </w:pPr>
    </w:p>
    <w:p>
      <w:pPr>
        <w:rPr>
          <w:rFonts w:ascii="Times New Roman" w:hAnsi="Times New Roman" w:eastAsia="方正仿宋简体"/>
          <w:sz w:val="30"/>
          <w:szCs w:val="30"/>
        </w:rPr>
      </w:pPr>
    </w:p>
    <w:p>
      <w:pPr>
        <w:rPr>
          <w:rFonts w:ascii="Times New Roman" w:hAnsi="Times New Roman" w:eastAsia="方正仿宋简体"/>
          <w:sz w:val="30"/>
          <w:szCs w:val="30"/>
        </w:rPr>
      </w:pPr>
    </w:p>
    <w:p>
      <w:pPr>
        <w:rPr>
          <w:rFonts w:ascii="Times New Roman" w:hAnsi="Times New Roman" w:eastAsia="方正仿宋简体"/>
          <w:sz w:val="30"/>
          <w:szCs w:val="30"/>
        </w:rPr>
      </w:pPr>
    </w:p>
    <w:p>
      <w:pPr>
        <w:rPr>
          <w:rFonts w:ascii="Times New Roman" w:hAnsi="Times New Roman" w:eastAsia="方正仿宋简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rPr>
          <w:rFonts w:ascii="Times New Roman" w:hAnsi="Times New Roman" w:eastAsia="黑体"/>
          <w:sz w:val="30"/>
          <w:szCs w:val="30"/>
        </w:rPr>
      </w:pPr>
      <w:r>
        <w:rPr>
          <w:rFonts w:ascii="Times New Roman" w:hAnsi="Times New Roman" w:eastAsia="黑体"/>
          <w:sz w:val="30"/>
          <w:szCs w:val="30"/>
        </w:rPr>
        <w:t>附件1</w:t>
      </w:r>
      <w:r>
        <w:rPr>
          <w:rFonts w:hint="eastAsia" w:ascii="Times New Roman" w:hAnsi="Times New Roman" w:eastAsia="黑体"/>
          <w:sz w:val="30"/>
          <w:szCs w:val="30"/>
        </w:rPr>
        <w:t>：</w:t>
      </w:r>
    </w:p>
    <w:p>
      <w:pPr>
        <w:rPr>
          <w:rFonts w:ascii="Times New Roman" w:hAnsi="Times New Roman" w:eastAsia="黑体"/>
          <w:sz w:val="30"/>
          <w:szCs w:val="30"/>
        </w:rPr>
      </w:pPr>
    </w:p>
    <w:p>
      <w:pPr>
        <w:jc w:val="center"/>
        <w:rPr>
          <w:rFonts w:ascii="Times New Roman" w:hAnsi="Times New Roman" w:eastAsia="方正大标宋简体" w:cs="方正大标宋简体"/>
          <w:sz w:val="30"/>
          <w:szCs w:val="30"/>
        </w:rPr>
      </w:pPr>
      <w:r>
        <w:rPr>
          <w:rFonts w:hint="eastAsia" w:ascii="Times New Roman" w:hAnsi="Times New Roman" w:eastAsia="方正大标宋简体" w:cs="方正大标宋简体"/>
          <w:sz w:val="30"/>
          <w:szCs w:val="30"/>
        </w:rPr>
        <w:t>中国证券市场投资者信心指数及其子指数图</w:t>
      </w:r>
    </w:p>
    <w:p>
      <w:pPr>
        <w:jc w:val="center"/>
        <w:rPr>
          <w:rFonts w:ascii="Times New Roman" w:hAnsi="Times New Roman" w:eastAsia="方正大标宋简体" w:cs="方正大标宋简体"/>
          <w:sz w:val="30"/>
          <w:szCs w:val="30"/>
        </w:rPr>
      </w:pPr>
      <w:r>
        <w:rPr>
          <w:rFonts w:hint="eastAsia" w:ascii="Times New Roman" w:hAnsi="Times New Roman" w:eastAsia="方正大标宋简体" w:cs="方正大标宋简体"/>
          <w:sz w:val="30"/>
          <w:szCs w:val="30"/>
        </w:rPr>
        <w:drawing>
          <wp:inline distT="0" distB="0" distL="114300" distR="114300">
            <wp:extent cx="5238115" cy="2922905"/>
            <wp:effectExtent l="0" t="0" r="6985" b="10795"/>
            <wp:docPr id="4" name="图片 4" descr="图片1"/>
            <wp:cNvGraphicFramePr/>
            <a:graphic xmlns:a="http://schemas.openxmlformats.org/drawingml/2006/main">
              <a:graphicData uri="http://schemas.openxmlformats.org/drawingml/2006/picture">
                <pic:pic xmlns:pic="http://schemas.openxmlformats.org/drawingml/2006/picture">
                  <pic:nvPicPr>
                    <pic:cNvPr id="4" name="图片 4" descr="图片1"/>
                    <pic:cNvPicPr/>
                  </pic:nvPicPr>
                  <pic:blipFill>
                    <a:blip r:embed="rId11"/>
                    <a:stretch>
                      <a:fillRect/>
                    </a:stretch>
                  </pic:blipFill>
                  <pic:spPr>
                    <a:xfrm>
                      <a:off x="0" y="0"/>
                      <a:ext cx="5238115" cy="2922905"/>
                    </a:xfrm>
                    <a:prstGeom prst="rect">
                      <a:avLst/>
                    </a:prstGeom>
                  </pic:spPr>
                </pic:pic>
              </a:graphicData>
            </a:graphic>
          </wp:inline>
        </w:drawing>
      </w:r>
    </w:p>
    <w:p>
      <w:pPr>
        <w:jc w:val="center"/>
        <w:rPr>
          <w:rFonts w:ascii="Times New Roman" w:hAnsi="Times New Roman" w:eastAsia="方正大标宋简体" w:cs="方正大标宋简体"/>
          <w:sz w:val="30"/>
          <w:szCs w:val="30"/>
        </w:rPr>
      </w:pPr>
      <w:r>
        <w:rPr>
          <w:rFonts w:hint="eastAsia" w:ascii="Times New Roman" w:hAnsi="Times New Roman" w:eastAsia="方正大标宋简体" w:cs="方正大标宋简体"/>
          <w:sz w:val="30"/>
          <w:szCs w:val="30"/>
        </w:rPr>
        <w:drawing>
          <wp:inline distT="0" distB="0" distL="114300" distR="114300">
            <wp:extent cx="5238115" cy="2922905"/>
            <wp:effectExtent l="0" t="0" r="6985" b="10795"/>
            <wp:docPr id="5" name="图片 5" descr="1602405229(1)"/>
            <wp:cNvGraphicFramePr/>
            <a:graphic xmlns:a="http://schemas.openxmlformats.org/drawingml/2006/main">
              <a:graphicData uri="http://schemas.openxmlformats.org/drawingml/2006/picture">
                <pic:pic xmlns:pic="http://schemas.openxmlformats.org/drawingml/2006/picture">
                  <pic:nvPicPr>
                    <pic:cNvPr id="5" name="图片 5" descr="1602405229(1)"/>
                    <pic:cNvPicPr/>
                  </pic:nvPicPr>
                  <pic:blipFill>
                    <a:blip r:embed="rId12"/>
                    <a:stretch>
                      <a:fillRect/>
                    </a:stretch>
                  </pic:blipFill>
                  <pic:spPr>
                    <a:xfrm>
                      <a:off x="0" y="0"/>
                      <a:ext cx="5238115" cy="2922905"/>
                    </a:xfrm>
                    <a:prstGeom prst="rect">
                      <a:avLst/>
                    </a:prstGeom>
                  </pic:spPr>
                </pic:pic>
              </a:graphicData>
            </a:graphic>
          </wp:inline>
        </w:drawing>
      </w:r>
    </w:p>
    <w:p>
      <w:pPr>
        <w:spacing w:line="420" w:lineRule="exact"/>
        <w:jc w:val="center"/>
        <w:rPr>
          <w:rFonts w:ascii="Times New Roman" w:hAnsi="Times New Roman" w:eastAsia="方正大标宋简体"/>
          <w:szCs w:val="21"/>
        </w:rPr>
        <w:sectPr>
          <w:footerReference r:id="rId7" w:type="first"/>
          <w:footerReference r:id="rId5" w:type="default"/>
          <w:footerReference r:id="rId6" w:type="even"/>
          <w:pgSz w:w="11906" w:h="16838"/>
          <w:pgMar w:top="1440" w:right="1797" w:bottom="1440" w:left="1797" w:header="851" w:footer="992" w:gutter="0"/>
          <w:pgNumType w:fmt="numberInDash" w:start="1"/>
          <w:cols w:space="720" w:num="1"/>
          <w:titlePg/>
          <w:docGrid w:type="lines" w:linePitch="312" w:charSpace="0"/>
        </w:sectPr>
      </w:pPr>
      <w:r>
        <w:rPr>
          <w:rFonts w:hint="eastAsia" w:ascii="Times New Roman" w:hAnsi="Times New Roman" w:eastAsia="方正大标宋简体"/>
          <w:szCs w:val="21"/>
        </w:rPr>
        <w:t>说明：信心指数取值范围为[</w:t>
      </w:r>
      <w:r>
        <w:rPr>
          <w:rFonts w:ascii="Times New Roman" w:hAnsi="Times New Roman" w:eastAsia="方正大标宋简体"/>
          <w:szCs w:val="21"/>
        </w:rPr>
        <w:t>0</w:t>
      </w:r>
      <w:r>
        <w:rPr>
          <w:rFonts w:hint="eastAsia" w:ascii="Times New Roman" w:hAnsi="Times New Roman" w:eastAsia="方正大标宋简体"/>
          <w:szCs w:val="21"/>
        </w:rPr>
        <w:t>，</w:t>
      </w:r>
      <w:r>
        <w:rPr>
          <w:rFonts w:ascii="Times New Roman" w:hAnsi="Times New Roman" w:eastAsia="方正大标宋简体"/>
          <w:szCs w:val="21"/>
        </w:rPr>
        <w:t>100</w:t>
      </w:r>
      <w:r>
        <w:rPr>
          <w:rFonts w:hint="eastAsia" w:ascii="Times New Roman" w:hAnsi="Times New Roman" w:eastAsia="方正大标宋简体"/>
          <w:szCs w:val="21"/>
        </w:rPr>
        <w:t>]，</w:t>
      </w:r>
      <w:r>
        <w:rPr>
          <w:rFonts w:ascii="Times New Roman" w:hAnsi="Times New Roman" w:eastAsia="方正大标宋简体"/>
          <w:szCs w:val="21"/>
        </w:rPr>
        <w:t>50</w:t>
      </w:r>
      <w:r>
        <w:rPr>
          <w:rFonts w:hint="eastAsia" w:ascii="Times New Roman" w:hAnsi="Times New Roman" w:eastAsia="方正大标宋简体"/>
          <w:szCs w:val="21"/>
        </w:rPr>
        <w:t>为中性值。</w:t>
      </w:r>
    </w:p>
    <w:p>
      <w:pPr>
        <w:spacing w:line="360" w:lineRule="auto"/>
        <w:rPr>
          <w:rFonts w:ascii="Times New Roman" w:hAnsi="Times New Roman" w:eastAsia="黑体"/>
          <w:sz w:val="30"/>
          <w:szCs w:val="30"/>
        </w:rPr>
      </w:pPr>
      <w:r>
        <w:rPr>
          <w:rFonts w:ascii="Times New Roman" w:hAnsi="Times New Roman" w:eastAsia="黑体"/>
          <w:sz w:val="30"/>
          <w:szCs w:val="30"/>
        </w:rPr>
        <w:t>附件</w:t>
      </w:r>
      <w:r>
        <w:rPr>
          <w:rFonts w:hint="eastAsia" w:ascii="Times New Roman" w:hAnsi="Times New Roman" w:eastAsia="黑体"/>
          <w:sz w:val="30"/>
          <w:szCs w:val="30"/>
        </w:rPr>
        <w:t>2：</w:t>
      </w:r>
    </w:p>
    <w:p>
      <w:pPr>
        <w:spacing w:line="360" w:lineRule="auto"/>
        <w:rPr>
          <w:rFonts w:ascii="Times New Roman" w:hAnsi="Times New Roman" w:eastAsia="黑体"/>
          <w:sz w:val="30"/>
          <w:szCs w:val="30"/>
        </w:rPr>
      </w:pPr>
    </w:p>
    <w:p>
      <w:pPr>
        <w:spacing w:line="360" w:lineRule="auto"/>
        <w:jc w:val="center"/>
        <w:rPr>
          <w:rFonts w:ascii="Times New Roman" w:hAnsi="Times New Roman" w:eastAsia="黑体"/>
          <w:sz w:val="30"/>
          <w:szCs w:val="30"/>
        </w:rPr>
      </w:pPr>
      <w:r>
        <w:rPr>
          <w:rFonts w:hint="eastAsia" w:ascii="Times New Roman" w:hAnsi="Times New Roman" w:eastAsia="黑体"/>
          <w:sz w:val="30"/>
          <w:szCs w:val="30"/>
        </w:rPr>
        <w:t>中国证券市场投资者信心指数与上证综指走势对比图（</w:t>
      </w:r>
      <w:r>
        <w:rPr>
          <w:rFonts w:ascii="Times New Roman" w:hAnsi="Times New Roman" w:eastAsia="黑体"/>
          <w:sz w:val="30"/>
          <w:szCs w:val="30"/>
        </w:rPr>
        <w:t>2008.4—20</w:t>
      </w:r>
      <w:r>
        <w:rPr>
          <w:rFonts w:hint="eastAsia" w:ascii="Times New Roman" w:hAnsi="Times New Roman" w:eastAsia="黑体"/>
          <w:sz w:val="30"/>
          <w:szCs w:val="30"/>
        </w:rPr>
        <w:t>20</w:t>
      </w:r>
      <w:r>
        <w:rPr>
          <w:rFonts w:ascii="Times New Roman" w:hAnsi="Times New Roman" w:eastAsia="黑体"/>
          <w:sz w:val="30"/>
          <w:szCs w:val="30"/>
        </w:rPr>
        <w:t>.</w:t>
      </w:r>
      <w:r>
        <w:rPr>
          <w:rFonts w:hint="eastAsia" w:ascii="Times New Roman" w:hAnsi="Times New Roman" w:eastAsia="黑体"/>
          <w:sz w:val="30"/>
          <w:szCs w:val="30"/>
        </w:rPr>
        <w:t>9）</w:t>
      </w:r>
    </w:p>
    <w:p>
      <w:pPr>
        <w:spacing w:line="360" w:lineRule="auto"/>
        <w:jc w:val="center"/>
        <w:rPr>
          <w:rFonts w:ascii="Times New Roman" w:hAnsi="Times New Roman" w:eastAsia="方正大标宋简体"/>
          <w:szCs w:val="21"/>
        </w:rPr>
      </w:pPr>
      <w:r>
        <w:rPr>
          <w:rFonts w:hint="eastAsia" w:ascii="Times New Roman" w:hAnsi="Times New Roman" w:eastAsia="方正大标宋简体"/>
          <w:szCs w:val="21"/>
        </w:rPr>
        <w:drawing>
          <wp:inline distT="0" distB="0" distL="114300" distR="114300">
            <wp:extent cx="8848725" cy="3639820"/>
            <wp:effectExtent l="0" t="0" r="3175" b="5080"/>
            <wp:docPr id="1" name="图片 1" descr="图片4"/>
            <wp:cNvGraphicFramePr/>
            <a:graphic xmlns:a="http://schemas.openxmlformats.org/drawingml/2006/main">
              <a:graphicData uri="http://schemas.openxmlformats.org/drawingml/2006/picture">
                <pic:pic xmlns:pic="http://schemas.openxmlformats.org/drawingml/2006/picture">
                  <pic:nvPicPr>
                    <pic:cNvPr id="1" name="图片 1" descr="图片4"/>
                    <pic:cNvPicPr/>
                  </pic:nvPicPr>
                  <pic:blipFill>
                    <a:blip r:embed="rId13"/>
                    <a:stretch>
                      <a:fillRect/>
                    </a:stretch>
                  </pic:blipFill>
                  <pic:spPr>
                    <a:xfrm>
                      <a:off x="0" y="0"/>
                      <a:ext cx="8848725" cy="3639820"/>
                    </a:xfrm>
                    <a:prstGeom prst="rect">
                      <a:avLst/>
                    </a:prstGeom>
                  </pic:spPr>
                </pic:pic>
              </a:graphicData>
            </a:graphic>
          </wp:inline>
        </w:drawing>
      </w:r>
    </w:p>
    <w:sectPr>
      <w:footerReference r:id="rId8" w:type="first"/>
      <w:pgSz w:w="16838" w:h="11906" w:orient="landscape"/>
      <w:pgMar w:top="1797" w:right="1440" w:bottom="1797" w:left="1440" w:header="851" w:footer="992" w:gutter="0"/>
      <w:pgNumType w:fmt="numberInDash" w:start="6"/>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2 -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p>
    <w:pPr>
      <w:pStyle w:val="3"/>
      <w:wordWrap w:val="0"/>
      <w:ind w:right="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4376"/>
    <w:rsid w:val="00003E57"/>
    <w:rsid w:val="00005A7D"/>
    <w:rsid w:val="00064026"/>
    <w:rsid w:val="000A1D35"/>
    <w:rsid w:val="000E15B6"/>
    <w:rsid w:val="00103DDE"/>
    <w:rsid w:val="00142B02"/>
    <w:rsid w:val="00147612"/>
    <w:rsid w:val="001B5AC9"/>
    <w:rsid w:val="001D5581"/>
    <w:rsid w:val="001E327F"/>
    <w:rsid w:val="00293980"/>
    <w:rsid w:val="00350C45"/>
    <w:rsid w:val="00367BBF"/>
    <w:rsid w:val="003B3541"/>
    <w:rsid w:val="00464376"/>
    <w:rsid w:val="005C05EF"/>
    <w:rsid w:val="005D0ED2"/>
    <w:rsid w:val="006C4909"/>
    <w:rsid w:val="006F182E"/>
    <w:rsid w:val="007225D5"/>
    <w:rsid w:val="007A5A19"/>
    <w:rsid w:val="0082499D"/>
    <w:rsid w:val="0086359C"/>
    <w:rsid w:val="00874E22"/>
    <w:rsid w:val="00895628"/>
    <w:rsid w:val="008B274C"/>
    <w:rsid w:val="00A32142"/>
    <w:rsid w:val="00B25981"/>
    <w:rsid w:val="00BE1830"/>
    <w:rsid w:val="00BF345F"/>
    <w:rsid w:val="00BF70CE"/>
    <w:rsid w:val="00C93167"/>
    <w:rsid w:val="00D02112"/>
    <w:rsid w:val="00D13633"/>
    <w:rsid w:val="00DC6DA7"/>
    <w:rsid w:val="00DF673C"/>
    <w:rsid w:val="00EF2845"/>
    <w:rsid w:val="00F87244"/>
    <w:rsid w:val="018F677C"/>
    <w:rsid w:val="028C4899"/>
    <w:rsid w:val="06F64049"/>
    <w:rsid w:val="07197472"/>
    <w:rsid w:val="08107C5D"/>
    <w:rsid w:val="085F5E70"/>
    <w:rsid w:val="09870F00"/>
    <w:rsid w:val="0AE76E2D"/>
    <w:rsid w:val="0BFB3142"/>
    <w:rsid w:val="0C5F559E"/>
    <w:rsid w:val="0C717DAF"/>
    <w:rsid w:val="0DF063B2"/>
    <w:rsid w:val="0F433194"/>
    <w:rsid w:val="11CD3F0D"/>
    <w:rsid w:val="143A43AA"/>
    <w:rsid w:val="15014A58"/>
    <w:rsid w:val="15D65FAE"/>
    <w:rsid w:val="160B0A05"/>
    <w:rsid w:val="191B277F"/>
    <w:rsid w:val="1A1F41C5"/>
    <w:rsid w:val="1B025F1C"/>
    <w:rsid w:val="1C0525F9"/>
    <w:rsid w:val="1D89478F"/>
    <w:rsid w:val="1DB248ED"/>
    <w:rsid w:val="1E823512"/>
    <w:rsid w:val="1EA91480"/>
    <w:rsid w:val="1F695DEB"/>
    <w:rsid w:val="22BF07F1"/>
    <w:rsid w:val="22F43459"/>
    <w:rsid w:val="23EB3774"/>
    <w:rsid w:val="25C610E1"/>
    <w:rsid w:val="26C76726"/>
    <w:rsid w:val="275934F2"/>
    <w:rsid w:val="29163EA6"/>
    <w:rsid w:val="29DE6064"/>
    <w:rsid w:val="29E35C51"/>
    <w:rsid w:val="29EA1DE0"/>
    <w:rsid w:val="2B0543B2"/>
    <w:rsid w:val="2B2121C3"/>
    <w:rsid w:val="2E0F2970"/>
    <w:rsid w:val="2E92763A"/>
    <w:rsid w:val="327B13AB"/>
    <w:rsid w:val="343334C6"/>
    <w:rsid w:val="369F6EB5"/>
    <w:rsid w:val="3B742796"/>
    <w:rsid w:val="3D160A35"/>
    <w:rsid w:val="3D833586"/>
    <w:rsid w:val="3DA55123"/>
    <w:rsid w:val="425A6EA7"/>
    <w:rsid w:val="45DC50D0"/>
    <w:rsid w:val="465019D1"/>
    <w:rsid w:val="46E66B2B"/>
    <w:rsid w:val="470A5B8A"/>
    <w:rsid w:val="49287D81"/>
    <w:rsid w:val="497F018C"/>
    <w:rsid w:val="497F1828"/>
    <w:rsid w:val="49E7319A"/>
    <w:rsid w:val="4B7129CE"/>
    <w:rsid w:val="4B956EBE"/>
    <w:rsid w:val="4DE5544B"/>
    <w:rsid w:val="4EA632E6"/>
    <w:rsid w:val="4FFF7CAE"/>
    <w:rsid w:val="52886FE3"/>
    <w:rsid w:val="53DA3835"/>
    <w:rsid w:val="54523623"/>
    <w:rsid w:val="55506186"/>
    <w:rsid w:val="557A3EAE"/>
    <w:rsid w:val="5683580D"/>
    <w:rsid w:val="59A4346D"/>
    <w:rsid w:val="5C9A2CAD"/>
    <w:rsid w:val="5CB81CEE"/>
    <w:rsid w:val="5CE11F48"/>
    <w:rsid w:val="5CFC151E"/>
    <w:rsid w:val="5FC208FE"/>
    <w:rsid w:val="64736094"/>
    <w:rsid w:val="66022A46"/>
    <w:rsid w:val="664864E8"/>
    <w:rsid w:val="66B135BD"/>
    <w:rsid w:val="67D5235C"/>
    <w:rsid w:val="68761471"/>
    <w:rsid w:val="69395A18"/>
    <w:rsid w:val="69C84E1C"/>
    <w:rsid w:val="69D35B77"/>
    <w:rsid w:val="6D8E412A"/>
    <w:rsid w:val="702B118A"/>
    <w:rsid w:val="7220314A"/>
    <w:rsid w:val="72C73645"/>
    <w:rsid w:val="72CC29B7"/>
    <w:rsid w:val="72D72285"/>
    <w:rsid w:val="737261FD"/>
    <w:rsid w:val="74052A2A"/>
    <w:rsid w:val="7457343A"/>
    <w:rsid w:val="77806011"/>
    <w:rsid w:val="78AF5273"/>
    <w:rsid w:val="793E7A62"/>
    <w:rsid w:val="7ACF4191"/>
    <w:rsid w:val="7B06152C"/>
    <w:rsid w:val="7E612B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kern w:val="0"/>
      <w:sz w:val="18"/>
      <w:szCs w:val="18"/>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377</Words>
  <Characters>2149</Characters>
  <Lines>17</Lines>
  <Paragraphs>5</Paragraphs>
  <TotalTime>0</TotalTime>
  <ScaleCrop>false</ScaleCrop>
  <LinksUpToDate>false</LinksUpToDate>
  <CharactersWithSpaces>2521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2020-07-04T08:51:00Z</dcterms:created>
  <dc:creator>Administrator</dc:creator>
  <cp:lastModifiedBy>哎呦威</cp:lastModifiedBy>
  <dcterms:modified xsi:type="dcterms:W3CDTF">2020-10-21T07:57:46Z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